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_x000B__x000C_" w:hAnsi="_x000B__x000C_"/>
          <w:b/>
          <w:sz w:val="48"/>
          <w:szCs w:val="48"/>
        </w:rPr>
      </w:pPr>
      <w:bookmarkStart w:id="0" w:name="_GoBack"/>
      <w:bookmarkEnd w:id="0"/>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ascii="宋体" w:hAnsi="宋体" w:eastAsia="宋体" w:cs="宋体"/>
          <w:b w:val="0"/>
          <w:bCs/>
          <w:sz w:val="28"/>
          <w:szCs w:val="28"/>
          <w:lang w:val="en-US" w:eastAsia="zh-CN"/>
        </w:rPr>
        <w:t xml:space="preserve"> </w:t>
      </w:r>
      <w:r>
        <w:rPr>
          <w:rFonts w:hint="eastAsia" w:cs="宋体"/>
          <w:b w:val="0"/>
          <w:bCs/>
          <w:sz w:val="28"/>
          <w:szCs w:val="28"/>
          <w:lang w:val="en-US" w:eastAsia="zh-CN"/>
        </w:rPr>
        <w:t>英语</w:t>
      </w:r>
      <w:r>
        <w:rPr>
          <w:rFonts w:hint="eastAsia" w:ascii="宋体" w:hAnsi="宋体" w:eastAsia="宋体" w:cs="宋体"/>
          <w:b w:val="0"/>
          <w:bCs/>
          <w:sz w:val="28"/>
          <w:szCs w:val="28"/>
          <w:lang w:val="en-US" w:eastAsia="zh-CN"/>
        </w:rPr>
        <w:t xml:space="preserve">   2024-2025第一学期   第</w:t>
      </w:r>
      <w:r>
        <w:rPr>
          <w:rFonts w:hint="eastAsia" w:cs="宋体"/>
          <w:b w:val="0"/>
          <w:bCs/>
          <w:sz w:val="28"/>
          <w:szCs w:val="28"/>
          <w:lang w:val="en-US" w:eastAsia="zh-CN"/>
        </w:rPr>
        <w:t>3</w:t>
      </w:r>
      <w:r>
        <w:rPr>
          <w:rFonts w:hint="eastAsia" w:ascii="宋体" w:hAnsi="宋体" w:eastAsia="宋体" w:cs="宋体"/>
          <w:b w:val="0"/>
          <w:bCs/>
          <w:sz w:val="28"/>
          <w:szCs w:val="28"/>
          <w:lang w:val="en-US" w:eastAsia="zh-CN"/>
        </w:rPr>
        <w:t>周</w:t>
      </w:r>
    </w:p>
    <w:tbl>
      <w:tblPr>
        <w:tblStyle w:val="4"/>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3"/>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pPr>
              <w:pStyle w:val="3"/>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24</w:t>
            </w:r>
            <w:r>
              <w:rPr>
                <w:rFonts w:hint="eastAsia" w:ascii="_x000B__x000C_" w:hAnsi="_x000B__x000C_"/>
                <w:b/>
                <w:sz w:val="28"/>
                <w:szCs w:val="28"/>
              </w:rPr>
              <w:t>.</w:t>
            </w:r>
            <w:r>
              <w:rPr>
                <w:rFonts w:hint="eastAsia" w:ascii="_x000B__x000C_" w:hAnsi="_x000B__x000C_"/>
                <w:b/>
                <w:sz w:val="28"/>
                <w:szCs w:val="28"/>
                <w:lang w:val="en-US" w:eastAsia="zh-CN"/>
              </w:rPr>
              <w:t>9</w:t>
            </w:r>
            <w:r>
              <w:rPr>
                <w:rFonts w:hint="eastAsia" w:ascii="_x000B__x000C_" w:hAnsi="_x000B__x000C_"/>
                <w:b/>
                <w:sz w:val="28"/>
                <w:szCs w:val="28"/>
              </w:rPr>
              <w:t>.</w:t>
            </w:r>
            <w:r>
              <w:rPr>
                <w:rFonts w:hint="eastAsia" w:ascii="_x000B__x000C_" w:hAnsi="_x000B__x000C_"/>
                <w:b/>
                <w:sz w:val="28"/>
                <w:szCs w:val="28"/>
                <w:lang w:val="en-US" w:eastAsia="zh-CN"/>
              </w:rPr>
              <w:t>23</w:t>
            </w:r>
          </w:p>
        </w:tc>
        <w:tc>
          <w:tcPr>
            <w:tcW w:w="1267" w:type="dxa"/>
            <w:tcBorders>
              <w:lef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pPr>
              <w:pStyle w:val="3"/>
              <w:wordWrap w:val="0"/>
              <w:jc w:val="center"/>
              <w:rPr>
                <w:rFonts w:hint="eastAsia" w:ascii="_x000B__x000C_" w:hAnsi="_x000B__x000C_" w:eastAsia="宋体"/>
                <w:b/>
                <w:sz w:val="28"/>
                <w:szCs w:val="28"/>
                <w:lang w:eastAsia="zh-CN"/>
              </w:rPr>
            </w:pPr>
            <w:r>
              <w:rPr>
                <w:rFonts w:hint="eastAsia" w:ascii="_x000B__x000C_" w:hAnsi="_x000B__x000C_"/>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pPr>
              <w:pStyle w:val="3"/>
              <w:ind w:firstLine="689" w:firstLineChars="245"/>
              <w:jc w:val="center"/>
              <w:rPr>
                <w:rFonts w:hint="default" w:eastAsia="宋体"/>
                <w:lang w:val="en-US" w:eastAsia="zh-CN"/>
              </w:rPr>
            </w:pPr>
            <w:r>
              <w:rPr>
                <w:rFonts w:hint="eastAsia" w:ascii="_x000B__x000C_" w:hAnsi="_x000B__x000C_"/>
                <w:b/>
                <w:sz w:val="28"/>
                <w:szCs w:val="28"/>
                <w:lang w:val="en-US" w:eastAsia="zh-CN"/>
              </w:rPr>
              <w:t>李烨</w:t>
            </w:r>
          </w:p>
        </w:tc>
        <w:tc>
          <w:tcPr>
            <w:tcW w:w="1606" w:type="dxa"/>
            <w:tcBorders>
              <w:left w:val="thinThickLargeGap" w:color="auto" w:sz="4" w:space="0"/>
              <w:bottom w:val="thinThickLargeGap" w:color="auto" w:sz="0" w:space="0"/>
              <w:right w:val="single" w:color="auto" w:sz="0"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pPr>
              <w:pStyle w:val="3"/>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赵雯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pPr>
              <w:pStyle w:val="3"/>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张柯怡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21" w:type="dxa"/>
            <w:tcBorders>
              <w:right w:val="inset" w:color="auto" w:sz="6" w:space="0"/>
            </w:tcBorders>
            <w:noWrap w:val="0"/>
            <w:vAlign w:val="top"/>
          </w:tcPr>
          <w:p>
            <w:pPr>
              <w:pStyle w:val="3"/>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pPr>
              <w:pStyle w:val="3"/>
              <w:wordWrap w:val="0"/>
              <w:jc w:val="center"/>
              <w:rPr>
                <w:rFonts w:hint="default" w:ascii="_x000B__x000C_" w:hAnsi="_x000B__x000C_" w:eastAsia="宋体"/>
                <w:b/>
                <w:lang w:val="en-US" w:eastAsia="zh-CN"/>
              </w:rPr>
            </w:pPr>
            <w:r>
              <w:rPr>
                <w:rFonts w:hint="eastAsia" w:ascii="_x000B__x000C_" w:hAnsi="_x000B__x000C_"/>
                <w:b/>
                <w:lang w:val="en-US" w:eastAsia="zh-CN"/>
              </w:rPr>
              <w:t>Phonics教学研讨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jc w:val="center"/>
        </w:trPr>
        <w:tc>
          <w:tcPr>
            <w:tcW w:w="1421" w:type="dxa"/>
            <w:tcBorders>
              <w:right w:val="inset" w:color="auto" w:sz="6" w:space="0"/>
            </w:tcBorders>
            <w:noWrap w:val="0"/>
            <w:vAlign w:val="top"/>
          </w:tcPr>
          <w:p>
            <w:pPr>
              <w:pStyle w:val="3"/>
              <w:wordWrap w:val="0"/>
              <w:jc w:val="center"/>
              <w:rPr>
                <w:rFonts w:hint="eastAsia" w:ascii="_x000B__x000C_" w:hAnsi="_x000B__x000C_"/>
                <w:b/>
                <w:sz w:val="28"/>
                <w:szCs w:val="28"/>
              </w:rPr>
            </w:pPr>
          </w:p>
          <w:p>
            <w:pPr>
              <w:pStyle w:val="3"/>
              <w:wordWrap w:val="0"/>
              <w:jc w:val="center"/>
              <w:rPr>
                <w:rFonts w:hint="eastAsia" w:ascii="_x000B__x000C_" w:hAnsi="_x000B__x000C_"/>
                <w:b/>
                <w:sz w:val="28"/>
                <w:szCs w:val="28"/>
              </w:rPr>
            </w:pPr>
            <w:r>
              <w:rPr>
                <w:rFonts w:hint="eastAsia" w:ascii="_x000B__x000C_" w:hAnsi="_x000B__x000C_"/>
                <w:b/>
                <w:sz w:val="28"/>
                <w:szCs w:val="28"/>
              </w:rPr>
              <w:t>过</w:t>
            </w:r>
          </w:p>
          <w:p>
            <w:pPr>
              <w:pStyle w:val="3"/>
              <w:wordWrap w:val="0"/>
              <w:rPr>
                <w:rFonts w:hint="eastAsia" w:ascii="_x000B__x000C_" w:hAnsi="_x000B__x000C_"/>
                <w:b/>
                <w:sz w:val="28"/>
                <w:szCs w:val="28"/>
              </w:rPr>
            </w:pPr>
          </w:p>
          <w:p>
            <w:pPr>
              <w:pStyle w:val="3"/>
              <w:wordWrap w:val="0"/>
              <w:jc w:val="center"/>
              <w:rPr>
                <w:rFonts w:hint="eastAsia" w:ascii="_x000B__x000C_" w:hAnsi="_x000B__x000C_"/>
                <w:b/>
                <w:sz w:val="28"/>
                <w:szCs w:val="28"/>
              </w:rPr>
            </w:pPr>
            <w:r>
              <w:rPr>
                <w:rFonts w:hint="eastAsia" w:ascii="_x000B__x000C_" w:hAnsi="_x000B__x000C_"/>
                <w:b/>
                <w:sz w:val="28"/>
                <w:szCs w:val="28"/>
              </w:rPr>
              <w:t>程</w:t>
            </w:r>
          </w:p>
          <w:p>
            <w:pPr>
              <w:pStyle w:val="3"/>
              <w:wordWrap w:val="0"/>
              <w:rPr>
                <w:rFonts w:hint="eastAsia" w:ascii="_x000B__x000C_" w:hAnsi="_x000B__x000C_"/>
                <w:b/>
                <w:sz w:val="28"/>
                <w:szCs w:val="28"/>
              </w:rPr>
            </w:pPr>
          </w:p>
          <w:p>
            <w:pPr>
              <w:pStyle w:val="3"/>
              <w:wordWrap w:val="0"/>
              <w:jc w:val="center"/>
              <w:rPr>
                <w:rFonts w:hint="eastAsia" w:ascii="_x000B__x000C_" w:hAnsi="_x000B__x000C_"/>
                <w:b/>
                <w:sz w:val="28"/>
                <w:szCs w:val="28"/>
              </w:rPr>
            </w:pPr>
            <w:r>
              <w:rPr>
                <w:rFonts w:hint="eastAsia" w:ascii="_x000B__x000C_" w:hAnsi="_x000B__x000C_"/>
                <w:b/>
                <w:sz w:val="28"/>
                <w:szCs w:val="28"/>
              </w:rPr>
              <w:t>记</w:t>
            </w:r>
          </w:p>
          <w:p>
            <w:pPr>
              <w:pStyle w:val="3"/>
              <w:wordWrap w:val="0"/>
              <w:rPr>
                <w:rFonts w:hint="eastAsia" w:ascii="_x000B__x000C_" w:hAnsi="_x000B__x000C_"/>
                <w:b/>
                <w:sz w:val="28"/>
                <w:szCs w:val="28"/>
              </w:rPr>
            </w:pPr>
          </w:p>
          <w:p>
            <w:pPr>
              <w:pStyle w:val="3"/>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在三年级的Phonics教学中，我们可以关注以下几个核心方面：</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1. Phonics的定义与重要性： Phonics，即自然拼读法，是一种看到单词就能根据字母和字母组合的发音规律正确拼读出来的方法。它的核心是建立字母与语音之间的对应关系，帮助学生实现“见词能读，听音能写”。</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2. Phonics教学的阶段性： Phonics教学一般遵循从字母发音到字母组合发音，再到单词、简单句子，最后到整段句子的学习规律。这个过程通常包括六个阶段，从建立字母与自然发音之间的直接联系开始，到能够成功拼读双音节或多音节单词，再到听音辨字，最后实现单词量的大量扩充和英语文章的阅读。</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3. 教学资源与教材： 有多种Phonics教学资源和教材可供选择，这些教材通常包括音频、视频和练习册，以多种方式帮助学生学习。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4. 教学方法与活动： 在Phonics教学中，可以采用多种教学方法和活动，如TPR（全身反应法）、歌曲、游戏、故事和绕口令等，以提高学生的参与度和兴趣。</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5. 教学评估： 评估Phonics教学效果时，可以采用多样化的评估方式，包括口头测试、书写测试和互动游戏，以全面了解学生的学习情况。</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7. 教学实践与反馈： 教师可以通过实践和反馈来不断优化Phonics教学方法，如局前街小学英语教研组分享的Phonics教学经验，强调在语境中结合字母元素与词、句，用歌谣诵读或表演的形式帮助学生学习字母名和字母音。</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sz w:val="24"/>
                <w:szCs w:val="24"/>
              </w:rPr>
            </w:pPr>
            <w:r>
              <w:rPr>
                <w:rFonts w:hint="eastAsia"/>
                <w:b/>
                <w:sz w:val="24"/>
                <w:szCs w:val="24"/>
              </w:rPr>
              <w:t>8. 家庭与学校的合作： 家长和教师可以共同参与孩子的Phonics学习，通过家庭作业、亲子阅读等方式，加强孩子对Phonics规则的掌握和应用。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rPr>
            </w:pPr>
            <w:r>
              <w:rPr>
                <w:rFonts w:hint="eastAsia"/>
                <w:b/>
                <w:sz w:val="24"/>
                <w:szCs w:val="24"/>
              </w:rPr>
              <w:t>通过这些方法，我们可以更有效地进行三年级Phonics教学，帮助学生建立坚实的英语发音和阅读基础。</w:t>
            </w:r>
          </w:p>
        </w:tc>
      </w:tr>
    </w:tbl>
    <w:p>
      <w:pPr>
        <w:rPr>
          <w:rFonts w:hint="eastAsia"/>
        </w:rPr>
      </w:pPr>
    </w:p>
    <w:sectPr>
      <w:headerReference r:id="rId3"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5D24DA4"/>
    <w:rsid w:val="05D24DA4"/>
    <w:rsid w:val="48694CFA"/>
    <w:rsid w:val="6D30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2024-10-21T10:26:00Z</dcterms:created>
  <dc:creator>Du.Du</dc:creator>
  <cp:lastModifiedBy>Du.Du</cp:lastModifiedBy>
  <dcterms:modified xsi:type="dcterms:W3CDTF">2024-10-21T12:20:27Z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9042E3A028444351B6054B5D8A1B6223_11</vt:lpwstr>
  </property>
</Properties>
</file>