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Unit1 Hello!教学设计研讨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一、</w:t>
            </w:r>
            <w:r>
              <w:rPr>
                <w:rFonts w:hint="eastAsia"/>
                <w:b/>
              </w:rPr>
              <w:t>教学方法与手段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教学方法：情景教学法：通过创设模拟的情境，让学生在真实或接近真实的语境中学习语言。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互动教学法：通过师生互动、生生互动，让学生在</w:t>
            </w:r>
            <w:bookmarkStart w:id="0" w:name="_GoBack"/>
            <w:bookmarkEnd w:id="0"/>
            <w:r>
              <w:rPr>
                <w:rFonts w:hint="eastAsia"/>
                <w:b/>
              </w:rPr>
              <w:t>交流中学习和提高。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3.</w:t>
            </w:r>
            <w:r>
              <w:rPr>
                <w:rFonts w:hint="eastAsia"/>
                <w:b/>
              </w:rPr>
              <w:t>游戏教学法：通过游戏的方式，让学生在轻松愉快的氛围中学习英语。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教学手段：多媒体课件：展示问候语和自我介绍句型，提供发音示范和图片辅助。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65" w:firstLineChars="6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录音设备：播放示范发音和录音学生发音，以便纠正发音错误。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65" w:firstLineChars="6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道具和面具：用于角色扮演和小组活动，增加学习的趣味性和真实性。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二、</w:t>
            </w:r>
            <w:r>
              <w:rPr>
                <w:rFonts w:hint="eastAsia"/>
                <w:b/>
              </w:rPr>
              <w:t>教学过程设计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导入新课（约5分钟）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通过问候和简单的交流，拉近师生之间的距离，营造轻松愉快的课堂氛围。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展示世界地图，介绍英语的重要性和国际地位，激发学生对英语学习的兴趣。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呈现新课（约10分钟）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利用多媒体课件展示“Hello”和“Hi”的发音示范，引导学生跟读并纠正发音。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介绍“Hello, I’m ...”句型，并用自己的名字作为示例进行自我介绍。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邀请几位学生上台用“Hello, I</w:t>
            </w:r>
            <w:r>
              <w:rPr>
                <w:rFonts w:hint="eastAsia"/>
                <w:b/>
                <w:lang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>m</w:t>
            </w:r>
            <w:r>
              <w:rPr>
                <w:rFonts w:hint="eastAsia"/>
                <w:b/>
              </w:rPr>
              <w:t xml:space="preserve"> ...”句型进行自我介绍，并给予鼓励和指正。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3.</w:t>
            </w:r>
            <w:r>
              <w:rPr>
                <w:rFonts w:hint="eastAsia"/>
                <w:b/>
              </w:rPr>
              <w:t>巩固练习（约10分钟）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分组进行角色扮演，让学生在模拟的情境中练习使用问候语和自我介绍句型。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进行击鼓传花游戏，当花传到某位学生手中时，该生需要用英语进行自我介绍。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拓展延伸（约5分钟）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引导学生思考不同国家见面打招呼的习惯和方式，了解不同文化之间的差异和魅力。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分享学生学习英语的经验和感受，鼓励学生大胆开口说英语。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5.</w:t>
            </w:r>
            <w:r>
              <w:rPr>
                <w:rFonts w:hint="eastAsia"/>
                <w:b/>
              </w:rPr>
              <w:t>总结归纳（约5分钟）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总结本节课学习的重难点，强调问候语和自我介绍句型的重要性和实用性。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6.</w:t>
            </w:r>
            <w:r>
              <w:rPr>
                <w:rFonts w:hint="eastAsia"/>
                <w:b/>
              </w:rPr>
              <w:t>布置课后作业：与家人或朋友用英语打招呼并介绍自己，将所学知识运用到生活中</w:t>
            </w:r>
            <w:r>
              <w:rPr>
                <w:rFonts w:hint="eastAsia"/>
                <w:b/>
                <w:lang w:eastAsia="zh-CN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157" w:right="1466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5B5E449E"/>
    <w:rsid w:val="52711BCE"/>
    <w:rsid w:val="5B5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2024-10-21T10:27:00Z</dcterms:created>
  <dc:creator>Du.Du</dc:creator>
  <cp:lastModifiedBy>Du.Du</cp:lastModifiedBy>
  <dcterms:modified xsi:type="dcterms:W3CDTF">2024-10-21T11:47:50Z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193B762A028B4E2D911E08FAA1A7136C_11</vt:lpwstr>
  </property>
</Properties>
</file>