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 w:cs="宋体"/>
          <w:sz w:val="36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2024.9.11       雨</w:t>
      </w:r>
    </w:p>
    <w:p>
      <w:pPr>
        <w:pStyle w:val="6"/>
      </w:pPr>
      <w:r>
        <w:rPr>
          <w:rFonts w:ascii="宋体" w:hAnsi="宋体" w:eastAsia="宋体" w:cs="宋体"/>
          <w:color w:val="000000"/>
          <w:sz w:val="28"/>
        </w:rPr>
        <w:t xml:space="preserve">    </w:t>
      </w:r>
      <w:r>
        <w:rPr>
          <w:sz w:val="28"/>
        </w:rPr>
        <w:t>我们已经是升入大班的小朋友啦，宝贝们很快都适应了幼儿园的生活，每天早晨都早早的到幼儿园参加晨间活动，他们各司其职，学习、游戏有模有样。宝贝们能够在老师的要求下逐步完成学习、锻炼、活动等各方面的任务，本周孩子们通过分组帮助弟弟妹妹入园、散步、睡觉、吃点心等，深受弟弟妹妹们的喜爱！</w:t>
      </w:r>
    </w:p>
    <w:p>
      <w:pPr>
        <w:snapToGrid w:val="0"/>
        <w:jc w:val="center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入园篇</w:t>
      </w: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故事一：我能自主签到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ind w:firstLine="480" w:firstLineChars="200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早晨来园后，孩子们进行自主签到，其中任贞臻、万卓桉、王彦钦、仲浩轩、刘书宇、陈仲锦、任蒋星、杨云聪、熊诺一、万语新、林语晨、左悠、朱念怡、张皓玥、赵悦浠、陆雨彤、袁铭菲、袁铭翔、周梓钧、胡立超、陈昭晖、吴黄泽熙、居安、苗浩铭、曹梓晨能自主个性化签到，王志豪、张宥妍、张辰逸需要在老师的提醒下签到再放好个人物品，希望下次能做得更好哦！其中陈仲锦能做好礼仪小天使帮助弟弟妹妹入园！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6"/>
            </w:pPr>
            <w:r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  <w:t>反馈与建议:升入大班后很多小朋友的时间观念有了一定变化，大部分孩子们都能在8点10分左右入园签到，</w:t>
            </w: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kern w:val="2"/>
                <w:sz w:val="24"/>
                <w:szCs w:val="24"/>
                <w:lang w:val="en-US" w:eastAsia="zh-CN" w:bidi="ar-SA"/>
              </w:rPr>
              <w:t>小小的签到不仅有助于幼儿形成良好的时间观念，提升其自我管理与服务能力，而且可以帮助幼儿运用数字、符号、图画等形式记录与表达。为了更好地培养孩子们的时间观念后期我们将统计也一并纳入其中，这样在签到环节中更能提升孩子们的时间观念、表达能力、前书写、统计等能力培养。</w:t>
            </w:r>
          </w:p>
          <w:p>
            <w:pPr>
              <w:pStyle w:val="6"/>
              <w:rPr>
                <w:rFonts w:ascii="UICTFontTextStyleBody" w:hAnsi="UICTFontTextStyleBody" w:eastAsia="UICTFontTextStyleBody" w:cs="UICTFontTextStyleBody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4159885" cy="5548630"/>
                  <wp:effectExtent l="0" t="0" r="0" b="0"/>
                  <wp:docPr id="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0482" cy="55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right="120"/>
        <w:jc w:val="both"/>
        <w:rPr>
          <w:rFonts w:ascii="宋体" w:hAnsi="宋体" w:eastAsia="宋体" w:cs="宋体"/>
          <w:sz w:val="1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室内活动篇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故事一：我们一起玩跑酷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ind w:firstLine="480" w:firstLineChars="20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由于外面天气下雨，我们在室内运动玩跑酷游戏。其中赵悦浠、陆雨彤、袁铭菲、袁铭翔、王彦钦、仲浩轩、任蒋星、杨云聪、左悠、周梓钧、胡立超、陈昭晖、吴黄泽熙、居安、苗浩铭、朱念怡、曹梓晨能跟着视频的提示障碍物闯关跑酷。其中张辰逸、刘书宇、陈仲锦、万卓桉、张皓玥能在老师提醒下有规则意识的游戏哦！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175000" cy="3359150"/>
                  <wp:effectExtent l="0" t="0" r="6350" b="1270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0" cy="335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午餐、区域游戏活动篇</w:t>
      </w: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故事一：我会自主吃饭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ind w:firstLine="480" w:firstLineChars="200"/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color w:val="000000"/>
                <w:sz w:val="24"/>
              </w:rPr>
              <w:t>今天我们吃午饭是意大利面。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苗浩铭、曹梓晨、王志豪能自主盛饭菜。</w:t>
            </w:r>
          </w:p>
          <w:p>
            <w:pPr>
              <w:pStyle w:val="6"/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</w:pPr>
          </w:p>
          <w:p>
            <w:pPr>
              <w:pStyle w:val="6"/>
              <w:rPr>
                <w:rFonts w:ascii="宋体" w:hAnsi="宋体" w:eastAsia="宋体" w:cs="宋体"/>
                <w:sz w:val="24"/>
              </w:rPr>
            </w:pPr>
            <w:r>
              <w:rPr>
                <w:rFonts w:ascii="-webkit-standard" w:hAnsi="-webkit-standard" w:eastAsia="-webkit-standard" w:cs="-webkit-standard"/>
                <w:b w:val="0"/>
                <w:color w:val="000000"/>
                <w:spacing w:val="0"/>
                <w:sz w:val="24"/>
              </w:rPr>
              <w:t>反馈与建议:除了个别小朋友速度上有所提升之外，一些幼儿的撒饭现象比较严重如:刘书宇、熊诺一、张辰逸。陈仲锦、万卓安吃饭过程中比较吵闹；苗浩铭进餐坐姿不端正，任贞臻饭菜浪费严重等等。</w:t>
            </w:r>
            <w:bookmarkStart w:id="0" w:name="_GoBack"/>
            <w:bookmarkEnd w:id="0"/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731895" cy="3416935"/>
                  <wp:effectExtent l="0" t="0" r="1905" b="12065"/>
                  <wp:docPr id="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895" cy="3416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jc w:val="both"/>
        <w:rPr>
          <w:rFonts w:ascii="宋体" w:hAnsi="宋体" w:eastAsia="宋体" w:cs="宋体"/>
          <w:b/>
          <w:color w:val="1F3863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0"/>
        </w:rPr>
      </w:pPr>
    </w:p>
    <w:p>
      <w:pPr>
        <w:numPr>
          <w:ilvl w:val="0"/>
          <w:numId w:val="1"/>
        </w:numPr>
        <w:snapToGrid w:val="0"/>
        <w:ind w:left="480" w:leftChars="0" w:hanging="480"/>
        <w:jc w:val="both"/>
        <w:rPr>
          <w:rFonts w:ascii="宋体" w:hAnsi="宋体" w:eastAsia="宋体" w:cs="宋体"/>
          <w:b/>
          <w:color w:val="303030"/>
          <w:sz w:val="22"/>
        </w:rPr>
      </w:pPr>
      <w:r>
        <w:rPr>
          <w:rFonts w:ascii="宋体" w:hAnsi="宋体" w:eastAsia="宋体" w:cs="宋体"/>
          <w:b/>
          <w:color w:val="303030"/>
          <w:sz w:val="22"/>
        </w:rPr>
        <w:t>故事一：区域游戏</w:t>
      </w:r>
    </w:p>
    <w:p>
      <w:pPr>
        <w:snapToGrid w:val="0"/>
        <w:jc w:val="left"/>
        <w:rPr>
          <w:rFonts w:ascii="宋体" w:hAnsi="宋体" w:eastAsia="宋体" w:cs="宋体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ind w:firstLine="480" w:firstLineChars="200"/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任贞臻、万卓桉、张辰逸、王彦钦、刘书宇、任蒋星、杨云聪、周梓钧、胡立超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>
            <w:pPr>
              <w:pStyle w:val="6"/>
              <w:ind w:firstLine="480" w:firstLineChars="200"/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苗浩铭、曹梓晨、王志豪、张宥妍、熊诺一、万语新、林语晨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909060" cy="3909060"/>
                  <wp:effectExtent l="0" t="0" r="0" b="0"/>
                  <wp:docPr id="11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9694" cy="39096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spacing w:after="8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31849B"/>
          <w:sz w:val="24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集体活动篇</w:t>
      </w: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b/>
          <w:color w:val="000000"/>
          <w:sz w:val="24"/>
        </w:rPr>
      </w:pPr>
      <w:r>
        <w:rPr>
          <w:rFonts w:ascii="宋体" w:hAnsi="宋体" w:eastAsia="宋体" w:cs="宋体"/>
          <w:color w:val="000000"/>
          <w:sz w:val="18"/>
        </w:rPr>
        <w:t xml:space="preserve"> </w:t>
      </w: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活动内容: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这是一节常识类的科学活动，这里所指标志主要是指交通标志。交通标志按其作用分类，分为主标志和辅助标志两大类。日常生活中，我们更加关注的就是主标志。而主标志又分为多种，如禁令标志、指示标志、警告标志等，不同的标志不仅图案不同，而且标志的颜色、形状等也有不同的寓意。本次活动我们将利用孩子们和家长一起收集的标志，通过同伴间的分享交流认识不同的标志，从而总结经验，让孩子对一类标志的共同点有所了解。</w:t>
      </w:r>
    </w:p>
    <w:p>
      <w:pPr>
        <w:snapToGrid w:val="0"/>
        <w:jc w:val="both"/>
        <w:rPr>
          <w:rFonts w:ascii="宋体" w:hAnsi="宋体" w:eastAsia="宋体" w:cs="宋体"/>
          <w:color w:val="000000"/>
          <w:sz w:val="18"/>
        </w:rPr>
      </w:pPr>
      <w:r>
        <w:rPr>
          <w:rFonts w:ascii="宋体" w:hAnsi="宋体" w:eastAsia="宋体" w:cs="宋体"/>
          <w:color w:val="000000"/>
          <w:sz w:val="18"/>
        </w:rPr>
        <w:t xml:space="preserve">    </w:t>
      </w:r>
    </w:p>
    <w:p>
      <w:pPr>
        <w:snapToGrid w:val="0"/>
        <w:jc w:val="both"/>
        <w:rPr>
          <w:rFonts w:ascii="宋体" w:hAnsi="宋体" w:eastAsia="宋体" w:cs="宋体"/>
          <w:sz w:val="18"/>
        </w:rPr>
      </w:pPr>
    </w:p>
    <w:p>
      <w:pPr>
        <w:pStyle w:val="6"/>
        <w:rPr>
          <w:sz w:val="24"/>
        </w:rPr>
      </w:pPr>
      <w:r>
        <w:rPr>
          <w:rFonts w:ascii="宋体" w:hAnsi="宋体" w:eastAsia="宋体" w:cs="宋体"/>
          <w:color w:val="303030"/>
          <w:sz w:val="22"/>
        </w:rPr>
        <w:t>Ø </w:t>
      </w:r>
      <w:r>
        <w:rPr>
          <w:rFonts w:ascii="宋体" w:hAnsi="宋体" w:eastAsia="宋体" w:cs="宋体"/>
          <w:b/>
          <w:color w:val="303030"/>
          <w:sz w:val="22"/>
        </w:rPr>
        <w:t>活动目标：</w:t>
      </w:r>
      <w:r>
        <w:rPr>
          <w:rFonts w:ascii="PingFangSC-Regular" w:hAnsi="PingFangSC-Regular" w:eastAsia="PingFangSC-Regular" w:cs="PingFangSC-Regular"/>
          <w:b w:val="0"/>
          <w:color w:val="000000"/>
          <w:spacing w:val="0"/>
          <w:sz w:val="24"/>
        </w:rPr>
        <w:t>1.</w:t>
      </w:r>
      <w:r>
        <w:rPr>
          <w:rFonts w:ascii="宋体" w:hAnsi="宋体" w:eastAsia="宋体" w:cs="宋体"/>
          <w:b w:val="0"/>
          <w:color w:val="000000"/>
          <w:spacing w:val="0"/>
          <w:sz w:val="24"/>
        </w:rPr>
        <w:t>初步了解标志图形底色和图案的含义，并根据标志的特征或用途进行分类。</w:t>
      </w:r>
    </w:p>
    <w:p>
      <w:pPr>
        <w:pStyle w:val="7"/>
        <w:rPr>
          <w:sz w:val="24"/>
        </w:rPr>
      </w:pPr>
      <w:r>
        <w:rPr>
          <w:rFonts w:ascii="宋体" w:hAnsi="宋体" w:eastAsia="宋体" w:cs="宋体"/>
          <w:b w:val="0"/>
          <w:color w:val="000000"/>
          <w:spacing w:val="0"/>
          <w:sz w:val="24"/>
        </w:rPr>
        <w:t>2.知道标志和人们生活的关系，形成初步的行为规范的意识。</w:t>
      </w:r>
    </w:p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000000"/>
          <w:sz w:val="24"/>
        </w:rPr>
      </w:pPr>
    </w:p>
    <w:p>
      <w:pPr>
        <w:snapToGrid w:val="0"/>
        <w:jc w:val="left"/>
        <w:rPr>
          <w:rFonts w:ascii="宋体" w:hAnsi="宋体" w:eastAsia="宋体" w:cs="宋体"/>
          <w:color w:val="000000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3525"/>
        <w:gridCol w:w="688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9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分享内容</w:t>
            </w: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b/>
                <w:color w:val="4BACC6"/>
                <w:sz w:val="24"/>
              </w:rPr>
            </w:pPr>
            <w:r>
              <w:rPr>
                <w:rFonts w:ascii="宋体" w:hAnsi="宋体" w:eastAsia="宋体" w:cs="宋体"/>
                <w:b/>
                <w:color w:val="4BACC6"/>
                <w:sz w:val="24"/>
              </w:rPr>
              <w:t>分享过程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60" w:type="dxa"/>
            <w:left w:w="60" w:type="dxa"/>
            <w:bottom w:w="45" w:type="dxa"/>
            <w:right w:w="60" w:type="dxa"/>
          </w:tblCellMar>
        </w:tblPrEx>
        <w:trPr>
          <w:trHeight w:val="2040" w:hRule="atLeast"/>
        </w:trPr>
        <w:tc>
          <w:tcPr>
            <w:tcW w:w="352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pStyle w:val="6"/>
              <w:ind w:firstLine="480" w:firstLineChars="200"/>
              <w:rPr>
                <w:sz w:val="24"/>
              </w:rPr>
            </w:pP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其中万语新、林语晨、左悠、朱念怡、张皓玥、吴黄泽熙、居安、苗浩铭、曹梓晨、王志豪、赵悦浠能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初步了解标志图形底色和图案的含义，并根据标志的特征或用途进行分类。</w:t>
            </w:r>
          </w:p>
          <w:p>
            <w:pPr>
              <w:pStyle w:val="7"/>
              <w:ind w:firstLine="480" w:firstLineChars="200"/>
              <w:rPr>
                <w:sz w:val="24"/>
              </w:rPr>
            </w:pPr>
            <w:r>
              <w:rPr>
                <w:rFonts w:ascii="PingFangSC-Regular" w:hAnsi="PingFangSC-Regular" w:eastAsia="PingFangSC-Regular" w:cs="PingFangSC-Regular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ascii="UICTFontTextStyleBody" w:hAnsi="UICTFontTextStyleBody" w:eastAsia="UICTFontTextStyleBody" w:cs="UICTFontTextStyleBody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任贞臻、张宥妍、熊诺一、陆雨彤、袁铭菲、袁铭翔、万卓桉、张辰逸、王彦钦、仲浩轩、刘书宇、陈仲锦、任蒋星、杨云聪、周梓钧、胡立超、陈昭晖能</w:t>
            </w:r>
            <w:r>
              <w:rPr>
                <w:rFonts w:ascii="宋体" w:hAnsi="宋体" w:eastAsia="宋体" w:cs="宋体"/>
                <w:b w:val="0"/>
                <w:color w:val="000000"/>
                <w:spacing w:val="0"/>
                <w:sz w:val="24"/>
              </w:rPr>
              <w:t>知道标志和人们生活的关系，形成初步的行为规范的意识。</w:t>
            </w:r>
          </w:p>
          <w:p>
            <w:pPr>
              <w:snapToGrid w:val="0"/>
              <w:ind w:left="480" w:right="120" w:hanging="480"/>
              <w:jc w:val="both"/>
              <w:rPr>
                <w:rFonts w:ascii="宋体" w:hAnsi="宋体" w:eastAsia="宋体" w:cs="宋体"/>
                <w:b/>
                <w:color w:val="000000"/>
                <w:sz w:val="24"/>
              </w:rPr>
            </w:pPr>
          </w:p>
          <w:p>
            <w:pPr>
              <w:pStyle w:val="6"/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24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color w:val="000000"/>
                <w:sz w:val="18"/>
              </w:rPr>
            </w:pPr>
          </w:p>
          <w:p>
            <w:pPr>
              <w:snapToGrid w:val="0"/>
              <w:spacing w:after="80"/>
              <w:jc w:val="both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6885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>
            <w:pPr>
              <w:snapToGrid w:val="0"/>
              <w:spacing w:after="80"/>
              <w:jc w:val="center"/>
              <w:rPr>
                <w:rFonts w:ascii="宋体" w:hAnsi="宋体" w:eastAsia="宋体" w:cs="宋体"/>
                <w:sz w:val="18"/>
              </w:rPr>
            </w:pPr>
            <w:r>
              <w:rPr>
                <w:rFonts w:ascii="宋体" w:hAnsi="宋体" w:eastAsia="宋体" w:cs="宋体"/>
                <w:sz w:val="18"/>
              </w:rPr>
              <w:drawing>
                <wp:inline distT="0" distB="0" distL="0" distR="0">
                  <wp:extent cx="3731260" cy="3731260"/>
                  <wp:effectExtent l="0" t="0" r="0" b="0"/>
                  <wp:docPr id="14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1894" cy="373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napToGrid w:val="0"/>
        <w:ind w:left="480" w:right="120" w:hanging="480"/>
        <w:jc w:val="both"/>
        <w:rPr>
          <w:rFonts w:ascii="宋体" w:hAnsi="宋体" w:eastAsia="宋体" w:cs="宋体"/>
          <w:b/>
          <w:color w:val="303030"/>
          <w:spacing w:val="0"/>
          <w:sz w:val="24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both"/>
        <w:rPr>
          <w:rFonts w:ascii="宋体" w:hAnsi="宋体" w:eastAsia="宋体" w:cs="宋体"/>
          <w:sz w:val="28"/>
        </w:rPr>
      </w:pPr>
    </w:p>
    <w:p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UICTFontTextStyle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xYzkwOWRlMmUzYmJjNDE1YjZiMzc2MGJjNTVjYTEifQ=="/>
  </w:docVars>
  <w:rsids>
    <w:rsidRoot w:val="00000000"/>
    <w:rsid w:val="299D0A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2024-09-12T00:01:00Z</dcterms:created>
  <dc:creator>Administrator</dc:creator>
  <cp:lastModifiedBy>Administrator</cp:lastModifiedBy>
  <cp:lastPrinted>2024-09-11T23:49:16Z</cp:lastPrinted>
  <dcterms:modified xsi:type="dcterms:W3CDTF">2024-09-11T23:49:29Z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881A1588FCBB44C4BF09C5C81678614B_13</vt:lpwstr>
  </property>
</Properties>
</file>