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A4CF3">
      <w:pPr>
        <w:ind w:firstLine="1285" w:firstLineChars="400"/>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20</w:t>
      </w:r>
      <w:r>
        <w:rPr>
          <w:rFonts w:asciiTheme="minorEastAsia" w:hAnsiTheme="minorEastAsia" w:eastAsiaTheme="minorEastAsia"/>
          <w:b/>
          <w:bCs/>
          <w:sz w:val="32"/>
          <w:szCs w:val="32"/>
        </w:rPr>
        <w:t>2</w:t>
      </w:r>
      <w:r>
        <w:rPr>
          <w:rFonts w:hint="eastAsia" w:asciiTheme="minorEastAsia" w:hAnsiTheme="minorEastAsia" w:eastAsiaTheme="minorEastAsia"/>
          <w:b/>
          <w:bCs/>
          <w:sz w:val="32"/>
          <w:szCs w:val="32"/>
          <w:lang w:val="en-US" w:eastAsia="zh-CN"/>
        </w:rPr>
        <w:t>4</w:t>
      </w:r>
      <w:r>
        <w:rPr>
          <w:rFonts w:hint="eastAsia" w:asciiTheme="minorEastAsia" w:hAnsiTheme="minorEastAsia" w:eastAsiaTheme="minorEastAsia"/>
          <w:b/>
          <w:bCs/>
          <w:sz w:val="32"/>
          <w:szCs w:val="32"/>
        </w:rPr>
        <w:t>--202</w:t>
      </w:r>
      <w:r>
        <w:rPr>
          <w:rFonts w:hint="eastAsia" w:asciiTheme="minorEastAsia" w:hAnsiTheme="minorEastAsia" w:eastAsiaTheme="minorEastAsia"/>
          <w:b/>
          <w:bCs/>
          <w:sz w:val="32"/>
          <w:szCs w:val="32"/>
          <w:lang w:val="en-US" w:eastAsia="zh-CN"/>
        </w:rPr>
        <w:t>5</w:t>
      </w:r>
      <w:r>
        <w:rPr>
          <w:rFonts w:hint="eastAsia" w:asciiTheme="minorEastAsia" w:hAnsiTheme="minorEastAsia" w:eastAsiaTheme="minorEastAsia"/>
          <w:b/>
          <w:bCs/>
          <w:sz w:val="32"/>
          <w:szCs w:val="32"/>
        </w:rPr>
        <w:t>学年第一学期数学学科组</w:t>
      </w:r>
      <w:r>
        <w:rPr>
          <w:rFonts w:hint="eastAsia" w:asciiTheme="minorEastAsia" w:hAnsiTheme="minorEastAsia" w:eastAsiaTheme="minorEastAsia"/>
          <w:b/>
          <w:bCs/>
          <w:sz w:val="32"/>
          <w:szCs w:val="32"/>
          <w:lang w:val="en-US" w:eastAsia="zh-CN"/>
        </w:rPr>
        <w:t>工作</w:t>
      </w:r>
      <w:bookmarkStart w:id="1" w:name="_GoBack"/>
      <w:bookmarkEnd w:id="1"/>
      <w:r>
        <w:rPr>
          <w:rFonts w:hint="eastAsia" w:asciiTheme="minorEastAsia" w:hAnsiTheme="minorEastAsia" w:eastAsiaTheme="minorEastAsia"/>
          <w:b/>
          <w:bCs/>
          <w:sz w:val="32"/>
          <w:szCs w:val="32"/>
        </w:rPr>
        <w:t>计划</w:t>
      </w:r>
    </w:p>
    <w:p w14:paraId="5C76AFD4">
      <w:pPr>
        <w:ind w:firstLine="3514" w:firstLineChars="125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常州市北郊小学</w:t>
      </w:r>
    </w:p>
    <w:p w14:paraId="47FB13BD">
      <w:pPr>
        <w:numPr>
          <w:ilvl w:val="0"/>
          <w:numId w:val="1"/>
        </w:numPr>
        <w:spacing w:line="480" w:lineRule="exact"/>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指导思想</w:t>
      </w:r>
    </w:p>
    <w:p w14:paraId="3CBBF91F">
      <w:pPr>
        <w:numPr>
          <w:ilvl w:val="0"/>
          <w:numId w:val="0"/>
        </w:numPr>
        <w:spacing w:line="480" w:lineRule="exact"/>
        <w:ind w:firstLine="480" w:firstLineChars="200"/>
        <w:rPr>
          <w:rFonts w:hint="eastAsia" w:ascii="宋体" w:hAnsi="宋体" w:eastAsia="宋体" w:cs="宋体"/>
          <w:sz w:val="24"/>
        </w:rPr>
      </w:pPr>
      <w:r>
        <w:rPr>
          <w:rFonts w:hint="eastAsia" w:ascii="宋体" w:hAnsi="宋体" w:eastAsia="宋体" w:cs="宋体"/>
          <w:sz w:val="24"/>
        </w:rPr>
        <w:t>本学期，我校数学组将继续以天宁区教师发展中心小学数学学科工作计划、学校工作计划为指导，</w:t>
      </w:r>
      <w:r>
        <w:rPr>
          <w:rFonts w:hint="eastAsia" w:ascii="宋体" w:hAnsi="宋体" w:eastAsia="宋体" w:cs="宋体"/>
          <w:sz w:val="24"/>
          <w:lang w:val="en-US" w:eastAsia="zh-CN"/>
        </w:rPr>
        <w:t>在区</w:t>
      </w:r>
      <w:r>
        <w:rPr>
          <w:rFonts w:hint="eastAsia" w:ascii="宋体" w:hAnsi="宋体" w:eastAsia="宋体" w:cs="宋体"/>
          <w:sz w:val="24"/>
          <w:lang w:eastAsia="zh-CN"/>
        </w:rPr>
        <w:t>“</w:t>
      </w:r>
      <w:r>
        <w:rPr>
          <w:rFonts w:hint="eastAsia" w:ascii="宋体" w:hAnsi="宋体" w:eastAsia="宋体" w:cs="宋体"/>
          <w:sz w:val="24"/>
          <w:lang w:val="en-US" w:eastAsia="zh-CN"/>
        </w:rPr>
        <w:t>新教学</w:t>
      </w:r>
      <w:r>
        <w:rPr>
          <w:rFonts w:hint="eastAsia" w:ascii="宋体" w:hAnsi="宋体" w:eastAsia="宋体" w:cs="宋体"/>
          <w:sz w:val="24"/>
          <w:lang w:eastAsia="zh-CN"/>
        </w:rPr>
        <w:t>”</w:t>
      </w:r>
      <w:r>
        <w:rPr>
          <w:rFonts w:hint="eastAsia" w:ascii="宋体" w:hAnsi="宋体" w:cs="宋体"/>
          <w:sz w:val="24"/>
          <w:lang w:eastAsia="zh-CN"/>
        </w:rPr>
        <w:t>、“</w:t>
      </w:r>
      <w:r>
        <w:rPr>
          <w:rFonts w:hint="eastAsia" w:ascii="宋体" w:hAnsi="宋体" w:cs="宋体"/>
          <w:sz w:val="24"/>
          <w:lang w:val="en-US" w:eastAsia="zh-CN"/>
        </w:rPr>
        <w:t>智慧样板区”等研究</w:t>
      </w:r>
      <w:r>
        <w:rPr>
          <w:rFonts w:hint="eastAsia" w:ascii="宋体" w:hAnsi="宋体" w:eastAsia="宋体" w:cs="宋体"/>
          <w:sz w:val="24"/>
          <w:lang w:val="en-US" w:eastAsia="zh-CN"/>
        </w:rPr>
        <w:t>项目的引领下</w:t>
      </w:r>
      <w:r>
        <w:rPr>
          <w:rFonts w:hint="eastAsia" w:ascii="宋体" w:hAnsi="宋体" w:eastAsia="宋体" w:cs="宋体"/>
          <w:sz w:val="24"/>
        </w:rPr>
        <w:t>，</w:t>
      </w:r>
      <w:r>
        <w:rPr>
          <w:rFonts w:hint="eastAsia" w:ascii="宋体" w:hAnsi="宋体" w:eastAsia="宋体" w:cs="宋体"/>
          <w:bCs/>
          <w:sz w:val="24"/>
          <w:szCs w:val="24"/>
        </w:rPr>
        <w:t>结合</w:t>
      </w:r>
      <w:r>
        <w:rPr>
          <w:rFonts w:hint="eastAsia" w:ascii="宋体" w:hAnsi="宋体" w:eastAsia="宋体" w:cs="宋体"/>
          <w:bCs/>
          <w:sz w:val="24"/>
          <w:szCs w:val="24"/>
          <w:lang w:val="en-US" w:eastAsia="zh-CN"/>
        </w:rPr>
        <w:t>学校</w:t>
      </w:r>
      <w:r>
        <w:rPr>
          <w:rFonts w:hint="eastAsia" w:ascii="宋体" w:hAnsi="宋体" w:eastAsia="宋体" w:cs="宋体"/>
          <w:bCs/>
          <w:sz w:val="24"/>
          <w:szCs w:val="24"/>
        </w:rPr>
        <w:t>实际</w:t>
      </w:r>
      <w:r>
        <w:rPr>
          <w:rFonts w:hint="eastAsia" w:ascii="宋体" w:hAnsi="宋体" w:eastAsia="宋体" w:cs="宋体"/>
          <w:sz w:val="24"/>
          <w:lang w:val="en-US" w:eastAsia="zh-CN"/>
        </w:rPr>
        <w:t>，以培养学生的创新精神和实践能力为重点。</w:t>
      </w:r>
      <w:r>
        <w:rPr>
          <w:rFonts w:hint="eastAsia" w:ascii="宋体" w:hAnsi="宋体" w:eastAsia="宋体" w:cs="宋体"/>
          <w:bCs/>
          <w:sz w:val="24"/>
          <w:szCs w:val="24"/>
        </w:rPr>
        <w:t>紧紧围绕“双减”工作</w:t>
      </w:r>
      <w:r>
        <w:rPr>
          <w:rFonts w:hint="eastAsia" w:ascii="宋体" w:hAnsi="宋体" w:eastAsia="宋体" w:cs="宋体"/>
          <w:bCs/>
          <w:sz w:val="24"/>
          <w:szCs w:val="24"/>
          <w:lang w:eastAsia="zh-CN"/>
        </w:rPr>
        <w:t>，</w:t>
      </w:r>
      <w:r>
        <w:rPr>
          <w:rFonts w:hint="eastAsia" w:ascii="宋体" w:hAnsi="宋体" w:cs="宋体"/>
          <w:bCs/>
          <w:sz w:val="24"/>
          <w:szCs w:val="24"/>
          <w:lang w:val="en-US" w:eastAsia="zh-CN"/>
        </w:rPr>
        <w:t>认真</w:t>
      </w:r>
      <w:r>
        <w:rPr>
          <w:rFonts w:hint="eastAsia" w:ascii="宋体" w:hAnsi="宋体" w:eastAsia="宋体" w:cs="宋体"/>
          <w:bCs/>
          <w:sz w:val="24"/>
          <w:szCs w:val="24"/>
        </w:rPr>
        <w:t>学习与</w:t>
      </w:r>
      <w:r>
        <w:rPr>
          <w:rFonts w:hint="eastAsia" w:ascii="宋体" w:hAnsi="宋体" w:cs="宋体"/>
          <w:bCs/>
          <w:sz w:val="24"/>
          <w:szCs w:val="24"/>
          <w:lang w:val="en-US" w:eastAsia="zh-CN"/>
        </w:rPr>
        <w:t>积极</w:t>
      </w:r>
      <w:r>
        <w:rPr>
          <w:rFonts w:hint="eastAsia" w:ascii="宋体" w:hAnsi="宋体" w:eastAsia="宋体" w:cs="宋体"/>
          <w:bCs/>
          <w:sz w:val="24"/>
          <w:szCs w:val="24"/>
        </w:rPr>
        <w:t>落实《义务教育数学课程标准（2022版）》对教学的要求</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不断提高数学课程的教学质量。</w:t>
      </w:r>
      <w:r>
        <w:rPr>
          <w:rFonts w:hint="eastAsia" w:ascii="宋体" w:hAnsi="宋体" w:eastAsia="宋体" w:cs="宋体"/>
          <w:sz w:val="24"/>
          <w:lang w:val="en-US" w:eastAsia="zh-CN"/>
        </w:rPr>
        <w:t>坚定地以“双减”工作和“新教学”研究为抓手，加强问题研究意识，</w:t>
      </w:r>
      <w:r>
        <w:rPr>
          <w:rFonts w:hint="eastAsia" w:ascii="宋体" w:hAnsi="宋体" w:eastAsia="宋体" w:cs="宋体"/>
          <w:bCs/>
          <w:sz w:val="24"/>
          <w:szCs w:val="24"/>
        </w:rPr>
        <w:t>不断提升</w:t>
      </w:r>
      <w:r>
        <w:rPr>
          <w:rFonts w:hint="eastAsia" w:ascii="宋体" w:hAnsi="宋体" w:eastAsia="宋体" w:cs="宋体"/>
          <w:bCs/>
          <w:sz w:val="24"/>
          <w:szCs w:val="24"/>
          <w:lang w:val="en-US" w:eastAsia="zh-CN"/>
        </w:rPr>
        <w:t>我校</w:t>
      </w:r>
      <w:r>
        <w:rPr>
          <w:rFonts w:hint="eastAsia" w:ascii="宋体" w:hAnsi="宋体" w:eastAsia="宋体" w:cs="宋体"/>
          <w:bCs/>
          <w:sz w:val="24"/>
          <w:szCs w:val="24"/>
        </w:rPr>
        <w:t>学生</w:t>
      </w:r>
      <w:r>
        <w:rPr>
          <w:rFonts w:hint="eastAsia" w:ascii="宋体" w:hAnsi="宋体" w:eastAsia="宋体" w:cs="宋体"/>
          <w:bCs/>
          <w:sz w:val="24"/>
          <w:szCs w:val="24"/>
          <w:lang w:val="en-US" w:eastAsia="zh-CN"/>
        </w:rPr>
        <w:t>数学学业素养</w:t>
      </w:r>
      <w:r>
        <w:rPr>
          <w:rFonts w:hint="eastAsia" w:ascii="宋体" w:hAnsi="宋体" w:eastAsia="宋体" w:cs="宋体"/>
          <w:sz w:val="24"/>
          <w:lang w:eastAsia="zh-CN"/>
        </w:rPr>
        <w:t>，</w:t>
      </w:r>
      <w:r>
        <w:rPr>
          <w:rFonts w:hint="eastAsia" w:ascii="宋体" w:hAnsi="宋体" w:eastAsia="宋体" w:cs="宋体"/>
          <w:sz w:val="24"/>
          <w:lang w:val="en-US" w:eastAsia="zh-CN"/>
        </w:rPr>
        <w:t>促进学生数学能力的发展</w:t>
      </w:r>
      <w:r>
        <w:rPr>
          <w:rFonts w:hint="eastAsia" w:ascii="宋体" w:hAnsi="宋体" w:eastAsia="宋体" w:cs="宋体"/>
          <w:sz w:val="24"/>
        </w:rPr>
        <w:t>。同时，继续发扬全组齐心协力的精神，形成组内集体攻关、分享智慧的氛围，进一步加强团队的研究力和凝聚力，全面提升教师的学科素养和数学组的教研实力。</w:t>
      </w:r>
    </w:p>
    <w:p w14:paraId="0FA1B8DB">
      <w:pPr>
        <w:numPr>
          <w:ilvl w:val="0"/>
          <w:numId w:val="1"/>
        </w:numPr>
        <w:spacing w:line="480" w:lineRule="exact"/>
        <w:ind w:left="0" w:leftChars="0"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主要工作</w:t>
      </w:r>
    </w:p>
    <w:p w14:paraId="0DB56591">
      <w:pPr>
        <w:numPr>
          <w:ilvl w:val="0"/>
          <w:numId w:val="2"/>
        </w:numPr>
        <w:spacing w:line="480" w:lineRule="exact"/>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严格规范教学常规，提升教学质量。</w:t>
      </w:r>
    </w:p>
    <w:p w14:paraId="2992B64E">
      <w:pPr>
        <w:spacing w:line="480" w:lineRule="exact"/>
        <w:ind w:firstLine="482" w:firstLineChars="200"/>
        <w:rPr>
          <w:rFonts w:ascii="宋体" w:hAnsi="宋体" w:cs="宋体"/>
          <w:b/>
          <w:bCs/>
          <w:kern w:val="0"/>
          <w:sz w:val="24"/>
        </w:rPr>
      </w:pPr>
      <w:r>
        <w:rPr>
          <w:rFonts w:hint="eastAsia" w:ascii="宋体" w:hAnsi="宋体" w:cs="宋体"/>
          <w:b/>
          <w:bCs/>
          <w:kern w:val="0"/>
          <w:sz w:val="24"/>
        </w:rPr>
        <w:t>1．细抓教学常规。</w:t>
      </w:r>
    </w:p>
    <w:p w14:paraId="37F27446">
      <w:pPr>
        <w:spacing w:line="480" w:lineRule="exact"/>
        <w:ind w:firstLine="480" w:firstLineChars="200"/>
        <w:rPr>
          <w:rFonts w:asciiTheme="minorEastAsia" w:hAnsiTheme="minorEastAsia" w:eastAsiaTheme="minorEastAsia"/>
          <w:sz w:val="24"/>
        </w:rPr>
      </w:pPr>
      <w:r>
        <w:rPr>
          <w:rFonts w:hint="eastAsia" w:ascii="宋体" w:hAnsi="宋体" w:cs="宋体"/>
          <w:kern w:val="0"/>
          <w:sz w:val="24"/>
        </w:rPr>
        <w:t>开学初，每位教师要认真学习新课程标准，阅读钻研教材，把握各单元、各节的教学要求和重难点，熟悉教材特点和编者意图，订好所教学科的教学计划。计划要体现每单元重难点以及采取的措施，研究解决难点的方法，从而改进自己的教学方法和练习策略。</w:t>
      </w:r>
      <w:r>
        <w:rPr>
          <w:rFonts w:hint="eastAsia"/>
          <w:color w:val="000000" w:themeColor="text1"/>
          <w:sz w:val="24"/>
          <w:szCs w:val="24"/>
          <w14:textFill>
            <w14:solidFill>
              <w14:schemeClr w14:val="tx1"/>
            </w14:solidFill>
          </w14:textFill>
        </w:rPr>
        <w:t>教师备课时除了自我备课外，还要积极参加集体备课，遵循“</w:t>
      </w:r>
      <w:r>
        <w:rPr>
          <w:rFonts w:hint="eastAsia"/>
          <w:color w:val="000000" w:themeColor="text1"/>
          <w:sz w:val="24"/>
          <w:szCs w:val="24"/>
          <w:lang w:val="en-US" w:eastAsia="zh-CN"/>
          <w14:textFill>
            <w14:solidFill>
              <w14:schemeClr w14:val="tx1"/>
            </w14:solidFill>
          </w14:textFill>
        </w:rPr>
        <w:t>级部</w:t>
      </w:r>
      <w:r>
        <w:rPr>
          <w:rFonts w:hint="eastAsia"/>
          <w:color w:val="000000" w:themeColor="text1"/>
          <w:sz w:val="24"/>
          <w:szCs w:val="24"/>
          <w14:textFill>
            <w14:solidFill>
              <w14:schemeClr w14:val="tx1"/>
            </w14:solidFill>
          </w14:textFill>
        </w:rPr>
        <w:t>研讨、个性备课、教后反思”具有生命的模式。在备课前，</w:t>
      </w:r>
      <w:r>
        <w:rPr>
          <w:rFonts w:hint="eastAsia"/>
          <w:color w:val="000000" w:themeColor="text1"/>
          <w:sz w:val="24"/>
          <w:szCs w:val="24"/>
          <w:lang w:val="en-US" w:eastAsia="zh-CN"/>
          <w14:textFill>
            <w14:solidFill>
              <w14:schemeClr w14:val="tx1"/>
            </w14:solidFill>
          </w14:textFill>
        </w:rPr>
        <w:t>同级部</w:t>
      </w:r>
      <w:r>
        <w:rPr>
          <w:rFonts w:hint="eastAsia"/>
          <w:color w:val="000000" w:themeColor="text1"/>
          <w:sz w:val="24"/>
          <w:szCs w:val="24"/>
          <w14:textFill>
            <w14:solidFill>
              <w14:schemeClr w14:val="tx1"/>
            </w14:solidFill>
          </w14:textFill>
        </w:rPr>
        <w:t>教师先对每一单元的教材教法等进行研讨，以便教师准确把握教材，采取适当教法，融合集体智慧；然后每位教师结合自身实际，进行教案的制定；各教师再根据自己执教情况进行教学反思。教案内容包括</w:t>
      </w: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14:textFill>
            <w14:solidFill>
              <w14:schemeClr w14:val="tx1"/>
            </w14:solidFill>
          </w14:textFill>
        </w:rPr>
        <w:t>教学课题、教学目标、重点难点、</w:t>
      </w:r>
      <w:r>
        <w:rPr>
          <w:rFonts w:hint="eastAsia"/>
          <w:color w:val="000000" w:themeColor="text1"/>
          <w:sz w:val="24"/>
          <w:szCs w:val="24"/>
          <w:lang w:val="en-US" w:eastAsia="zh-CN"/>
          <w14:textFill>
            <w14:solidFill>
              <w14:schemeClr w14:val="tx1"/>
            </w14:solidFill>
          </w14:textFill>
        </w:rPr>
        <w:t>制定依据、</w:t>
      </w:r>
      <w:r>
        <w:rPr>
          <w:rFonts w:hint="eastAsia"/>
          <w:color w:val="000000" w:themeColor="text1"/>
          <w:sz w:val="24"/>
          <w:szCs w:val="24"/>
          <w14:textFill>
            <w14:solidFill>
              <w14:schemeClr w14:val="tx1"/>
            </w14:solidFill>
          </w14:textFill>
        </w:rPr>
        <w:t>教学方法、教学过程、板书设计、作业布置，教学</w:t>
      </w:r>
      <w:r>
        <w:rPr>
          <w:rFonts w:hint="eastAsia"/>
          <w:color w:val="000000" w:themeColor="text1"/>
          <w:sz w:val="24"/>
          <w:szCs w:val="24"/>
          <w:lang w:val="en-US" w:eastAsia="zh-CN"/>
          <w14:textFill>
            <w14:solidFill>
              <w14:schemeClr w14:val="tx1"/>
            </w14:solidFill>
          </w14:textFill>
        </w:rPr>
        <w:t>反思。五年内教师手写备课，其余教师可以电子备课。在备课的过程中，45周岁以内的教师需要有详细的二次备课，其余教师要有二次备课的痕迹，</w:t>
      </w:r>
      <w:r>
        <w:rPr>
          <w:rFonts w:hint="eastAsia"/>
          <w:color w:val="000000" w:themeColor="text1"/>
          <w:sz w:val="24"/>
          <w:szCs w:val="24"/>
          <w14:textFill>
            <w14:solidFill>
              <w14:schemeClr w14:val="tx1"/>
            </w14:solidFill>
          </w14:textFill>
        </w:rPr>
        <w:t>教研组将定期对其进行检查。</w:t>
      </w:r>
      <w:r>
        <w:rPr>
          <w:rFonts w:hint="eastAsia" w:asciiTheme="minorEastAsia" w:hAnsiTheme="minorEastAsia" w:eastAsiaTheme="minorEastAsia"/>
          <w:sz w:val="24"/>
        </w:rPr>
        <w:t>五年内新教师备详案(手写稿)。</w:t>
      </w:r>
    </w:p>
    <w:p w14:paraId="72657ECA">
      <w:pPr>
        <w:spacing w:line="480" w:lineRule="exact"/>
        <w:ind w:firstLine="480" w:firstLineChars="200"/>
        <w:rPr>
          <w:rFonts w:ascii="宋体" w:hAnsi="宋体" w:cs="宋体"/>
          <w:kern w:val="0"/>
          <w:sz w:val="24"/>
        </w:rPr>
      </w:pPr>
      <w:r>
        <w:rPr>
          <w:rFonts w:hint="eastAsia" w:ascii="宋体" w:hAnsi="宋体" w:cs="宋体"/>
          <w:kern w:val="0"/>
          <w:sz w:val="24"/>
        </w:rPr>
        <w:t>针对课堂实际情况和学生学习状态，合理归因，并制定具体改进或重建措施。对教学中出现的问题及时记录、反思，认真总结个人教育教学心得。</w:t>
      </w:r>
    </w:p>
    <w:p w14:paraId="105F5B7C">
      <w:pPr>
        <w:spacing w:line="480" w:lineRule="exact"/>
        <w:ind w:firstLine="482" w:firstLineChars="200"/>
        <w:rPr>
          <w:rFonts w:ascii="宋体" w:hAnsi="宋体" w:cs="宋体"/>
          <w:b/>
          <w:bCs/>
          <w:kern w:val="0"/>
          <w:sz w:val="24"/>
        </w:rPr>
      </w:pPr>
      <w:r>
        <w:rPr>
          <w:rFonts w:hint="eastAsia" w:ascii="宋体" w:hAnsi="宋体" w:cs="宋体"/>
          <w:b/>
          <w:bCs/>
          <w:kern w:val="0"/>
          <w:sz w:val="24"/>
        </w:rPr>
        <w:t>2</w:t>
      </w:r>
      <w:r>
        <w:rPr>
          <w:rFonts w:ascii="宋体" w:hAnsi="宋体" w:cs="宋体"/>
          <w:b/>
          <w:bCs/>
          <w:kern w:val="0"/>
          <w:sz w:val="24"/>
        </w:rPr>
        <w:t>.</w:t>
      </w:r>
      <w:r>
        <w:rPr>
          <w:rFonts w:hint="eastAsia" w:ascii="宋体" w:hAnsi="宋体" w:cs="宋体"/>
          <w:b/>
          <w:bCs/>
          <w:kern w:val="0"/>
          <w:sz w:val="24"/>
        </w:rPr>
        <w:t>稳抓课堂教学。</w:t>
      </w:r>
    </w:p>
    <w:p w14:paraId="149A15B7">
      <w:pPr>
        <w:spacing w:line="480" w:lineRule="exact"/>
        <w:ind w:firstLine="480" w:firstLineChars="200"/>
        <w:rPr>
          <w:rFonts w:ascii="宋体" w:hAnsi="宋体" w:cs="宋体"/>
          <w:kern w:val="0"/>
          <w:sz w:val="24"/>
        </w:rPr>
      </w:pPr>
      <w:r>
        <w:rPr>
          <w:rFonts w:hint="eastAsia" w:ascii="宋体" w:hAnsi="宋体" w:cs="宋体"/>
          <w:kern w:val="0"/>
          <w:sz w:val="24"/>
        </w:rPr>
        <w:t>遵守学校教学常规中对课堂教学的要求，不迟到、不抢点、不拖堂、不随便调课、代课。</w:t>
      </w:r>
    </w:p>
    <w:p w14:paraId="2D195FA5">
      <w:pPr>
        <w:spacing w:line="480" w:lineRule="exact"/>
        <w:ind w:firstLine="480" w:firstLineChars="200"/>
        <w:rPr>
          <w:rFonts w:hint="eastAsia" w:ascii="宋体" w:hAnsi="宋体" w:cs="宋体"/>
          <w:kern w:val="0"/>
          <w:sz w:val="24"/>
        </w:rPr>
      </w:pPr>
      <w:r>
        <w:rPr>
          <w:rFonts w:hint="eastAsia" w:asciiTheme="minorEastAsia" w:hAnsiTheme="minorEastAsia" w:eastAsiaTheme="minorEastAsia"/>
          <w:sz w:val="24"/>
        </w:rPr>
        <w:t>深入课堂听课，通过“一人同课多轮”、“同上一节课”等形式，锤炼教师的课堂教学能力。</w:t>
      </w:r>
      <w:r>
        <w:rPr>
          <w:rFonts w:hint="eastAsia" w:ascii="宋体" w:hAnsi="宋体" w:cs="宋体"/>
          <w:kern w:val="0"/>
          <w:sz w:val="24"/>
        </w:rPr>
        <w:t>课堂要积极创设有效的教学情境，重视学习方法、思考方法的渗透与指导，重视数学知识的应用性，重视学生能力的培养。一学期做到至少每人一节。对于比较成熟的公开课或研讨课鼓励大家录像，保存资料。</w:t>
      </w:r>
    </w:p>
    <w:p w14:paraId="1D90BBCF">
      <w:pPr>
        <w:spacing w:line="480" w:lineRule="exact"/>
        <w:ind w:firstLine="480" w:firstLineChars="200"/>
        <w:rPr>
          <w:rFonts w:hint="eastAsia" w:eastAsia="宋体" w:asciiTheme="minorEastAsia" w:hAnsiTheme="minorEastAsia"/>
          <w:sz w:val="24"/>
          <w:lang w:val="en-US" w:eastAsia="zh-CN"/>
        </w:rPr>
      </w:pPr>
      <w:r>
        <w:rPr>
          <w:rFonts w:hint="eastAsia" w:ascii="宋体" w:hAnsi="宋体" w:cs="宋体"/>
          <w:kern w:val="0"/>
          <w:sz w:val="24"/>
          <w:lang w:val="en-US" w:eastAsia="zh-CN"/>
        </w:rPr>
        <w:t>积极邀请专家进行新教材培训，认真研读新教材。同时邀请专家指导青年教师，在一定程度上有效打通青年教师的成长壁垒，提高教学质量，促进教师专业成长。</w:t>
      </w:r>
    </w:p>
    <w:p w14:paraId="7F06C65A">
      <w:pPr>
        <w:spacing w:line="480" w:lineRule="exact"/>
        <w:ind w:firstLine="482" w:firstLineChars="200"/>
        <w:rPr>
          <w:rFonts w:ascii="宋体" w:hAnsi="宋体" w:cs="宋体"/>
          <w:b/>
          <w:bCs/>
          <w:kern w:val="0"/>
          <w:sz w:val="24"/>
        </w:rPr>
      </w:pPr>
      <w:r>
        <w:rPr>
          <w:rFonts w:hint="eastAsia" w:ascii="宋体" w:hAnsi="宋体" w:cs="宋体"/>
          <w:b/>
          <w:bCs/>
          <w:kern w:val="0"/>
          <w:sz w:val="24"/>
        </w:rPr>
        <w:t>　</w:t>
      </w:r>
      <w:r>
        <w:rPr>
          <w:rFonts w:ascii="宋体" w:hAnsi="宋体" w:cs="宋体"/>
          <w:b/>
          <w:bCs/>
          <w:kern w:val="0"/>
          <w:sz w:val="24"/>
        </w:rPr>
        <w:t>3</w:t>
      </w:r>
      <w:r>
        <w:rPr>
          <w:rFonts w:hint="eastAsia" w:ascii="宋体" w:hAnsi="宋体" w:cs="宋体"/>
          <w:b/>
          <w:bCs/>
          <w:kern w:val="0"/>
          <w:sz w:val="24"/>
        </w:rPr>
        <w:t>.实抓作业质量。</w:t>
      </w:r>
    </w:p>
    <w:p w14:paraId="1062F4EF">
      <w:pPr>
        <w:spacing w:line="480" w:lineRule="exact"/>
        <w:ind w:firstLine="480" w:firstLineChars="200"/>
        <w:rPr>
          <w:rFonts w:hint="eastAsia" w:ascii="宋体" w:hAnsi="宋体" w:cs="宋体"/>
          <w:b w:val="0"/>
          <w:bCs w:val="0"/>
          <w:kern w:val="0"/>
          <w:sz w:val="24"/>
          <w:lang w:val="en-US" w:eastAsia="zh-CN"/>
        </w:rPr>
      </w:pPr>
      <w:r>
        <w:rPr>
          <w:rFonts w:hint="eastAsia" w:ascii="宋体" w:hAnsi="宋体" w:cs="宋体"/>
          <w:b w:val="0"/>
          <w:bCs w:val="0"/>
          <w:kern w:val="0"/>
          <w:sz w:val="24"/>
          <w:lang w:eastAsia="zh-CN"/>
        </w:rPr>
        <w:t>（</w:t>
      </w:r>
      <w:r>
        <w:rPr>
          <w:rFonts w:hint="eastAsia" w:ascii="宋体" w:hAnsi="宋体" w:cs="宋体"/>
          <w:b w:val="0"/>
          <w:bCs w:val="0"/>
          <w:kern w:val="0"/>
          <w:sz w:val="24"/>
          <w:lang w:val="en-US" w:eastAsia="zh-CN"/>
        </w:rPr>
        <w:t>1</w:t>
      </w:r>
      <w:r>
        <w:rPr>
          <w:rFonts w:hint="eastAsia" w:ascii="宋体" w:hAnsi="宋体" w:cs="宋体"/>
          <w:b w:val="0"/>
          <w:bCs w:val="0"/>
          <w:kern w:val="0"/>
          <w:sz w:val="24"/>
          <w:lang w:eastAsia="zh-CN"/>
        </w:rPr>
        <w:t>）</w:t>
      </w:r>
      <w:r>
        <w:rPr>
          <w:rFonts w:hint="eastAsia" w:ascii="宋体" w:hAnsi="宋体" w:cs="宋体"/>
          <w:b w:val="0"/>
          <w:bCs w:val="0"/>
          <w:kern w:val="0"/>
          <w:sz w:val="24"/>
        </w:rPr>
        <w:t>加强“</w:t>
      </w:r>
      <w:r>
        <w:rPr>
          <w:rFonts w:hint="eastAsia" w:ascii="宋体" w:hAnsi="宋体" w:cs="宋体"/>
          <w:b w:val="0"/>
          <w:bCs w:val="0"/>
          <w:kern w:val="0"/>
          <w:sz w:val="24"/>
          <w:lang w:val="en-US" w:eastAsia="zh-CN"/>
        </w:rPr>
        <w:t>作业设计</w:t>
      </w:r>
      <w:r>
        <w:rPr>
          <w:rFonts w:hint="eastAsia" w:ascii="宋体" w:hAnsi="宋体" w:cs="宋体"/>
          <w:b w:val="0"/>
          <w:bCs w:val="0"/>
          <w:kern w:val="0"/>
          <w:sz w:val="24"/>
        </w:rPr>
        <w:t>”</w:t>
      </w:r>
      <w:r>
        <w:rPr>
          <w:rFonts w:hint="eastAsia" w:ascii="宋体" w:hAnsi="宋体" w:cs="宋体"/>
          <w:b w:val="0"/>
          <w:bCs w:val="0"/>
          <w:kern w:val="0"/>
          <w:sz w:val="24"/>
          <w:lang w:val="en-US" w:eastAsia="zh-CN"/>
        </w:rPr>
        <w:t>研究。</w:t>
      </w:r>
      <w:r>
        <w:rPr>
          <w:rFonts w:hint="eastAsia" w:asciiTheme="minorEastAsia" w:hAnsiTheme="minorEastAsia" w:eastAsiaTheme="minorEastAsia"/>
          <w:sz w:val="24"/>
          <w:lang w:val="en-US" w:eastAsia="zh-CN"/>
        </w:rPr>
        <w:t>结合“五项管理”与“双减”政策中对作业布置的建议，优化作业设计，创新作业形式，各年级结合当月所学内容和重要知识点，每月集体策划，设计一次创新性或特色作业。如：闯关型作业、实验性作业、游戏型作业等，提升学生对作业的兴趣。</w:t>
      </w:r>
      <w:r>
        <w:rPr>
          <w:rFonts w:hint="eastAsia" w:ascii="宋体" w:hAnsi="宋体" w:cs="宋体"/>
          <w:b w:val="0"/>
          <w:bCs w:val="0"/>
          <w:kern w:val="0"/>
          <w:sz w:val="24"/>
          <w:lang w:val="en-US" w:eastAsia="zh-CN"/>
        </w:rPr>
        <w:t>以区“单元作业设计比赛”为依托，</w:t>
      </w:r>
      <w:r>
        <w:rPr>
          <w:rFonts w:hint="eastAsia" w:asciiTheme="minorEastAsia" w:hAnsiTheme="minorEastAsia" w:eastAsiaTheme="minorEastAsia"/>
          <w:sz w:val="24"/>
        </w:rPr>
        <w:t>特别是</w:t>
      </w:r>
      <w:r>
        <w:rPr>
          <w:rFonts w:hint="eastAsia" w:asciiTheme="minorEastAsia" w:hAnsiTheme="minorEastAsia" w:eastAsiaTheme="minorEastAsia"/>
          <w:sz w:val="24"/>
          <w:lang w:val="en-US" w:eastAsia="zh-CN"/>
        </w:rPr>
        <w:t>三年级，以及四</w:t>
      </w:r>
      <w:r>
        <w:rPr>
          <w:rFonts w:hint="eastAsia" w:asciiTheme="minorEastAsia" w:hAnsiTheme="minorEastAsia" w:eastAsiaTheme="minorEastAsia"/>
          <w:sz w:val="24"/>
        </w:rPr>
        <w:t>年级将迎来本学期的</w:t>
      </w:r>
      <w:r>
        <w:rPr>
          <w:rFonts w:hint="eastAsia" w:asciiTheme="minorEastAsia" w:hAnsiTheme="minorEastAsia" w:eastAsiaTheme="minorEastAsia"/>
          <w:sz w:val="24"/>
          <w:lang w:val="en-US" w:eastAsia="zh-CN"/>
        </w:rPr>
        <w:t>区</w:t>
      </w:r>
      <w:r>
        <w:rPr>
          <w:rFonts w:hint="eastAsia" w:asciiTheme="minorEastAsia" w:hAnsiTheme="minorEastAsia" w:eastAsiaTheme="minorEastAsia"/>
          <w:sz w:val="24"/>
        </w:rPr>
        <w:t>学业质量分析检测，数学组将组织</w:t>
      </w:r>
      <w:r>
        <w:rPr>
          <w:rFonts w:hint="eastAsia" w:asciiTheme="minorEastAsia" w:hAnsiTheme="minorEastAsia" w:eastAsiaTheme="minorEastAsia"/>
          <w:sz w:val="24"/>
          <w:lang w:val="en-US" w:eastAsia="zh-CN"/>
        </w:rPr>
        <w:t>全体</w:t>
      </w:r>
      <w:r>
        <w:rPr>
          <w:rFonts w:hint="eastAsia" w:asciiTheme="minorEastAsia" w:hAnsiTheme="minorEastAsia" w:eastAsiaTheme="minorEastAsia"/>
          <w:sz w:val="24"/>
        </w:rPr>
        <w:t>老师进行专项研讨，根据上学期的区测反馈在有限时间内作</w:t>
      </w:r>
      <w:r>
        <w:rPr>
          <w:rFonts w:hint="eastAsia" w:asciiTheme="minorEastAsia" w:hAnsiTheme="minorEastAsia" w:eastAsiaTheme="minorEastAsia"/>
          <w:sz w:val="24"/>
          <w:lang w:val="en-US" w:eastAsia="zh-CN"/>
        </w:rPr>
        <w:t>好整本书的单元作业设计</w:t>
      </w:r>
      <w:r>
        <w:rPr>
          <w:rFonts w:hint="eastAsia" w:asciiTheme="minorEastAsia" w:hAnsiTheme="minorEastAsia" w:eastAsiaTheme="minorEastAsia"/>
          <w:sz w:val="24"/>
        </w:rPr>
        <w:t>。</w:t>
      </w:r>
    </w:p>
    <w:p w14:paraId="2DFB2291">
      <w:pPr>
        <w:spacing w:line="480" w:lineRule="exact"/>
        <w:ind w:firstLine="480" w:firstLineChars="200"/>
        <w:rPr>
          <w:rFonts w:hint="eastAsia" w:ascii="宋体" w:hAnsi="宋体" w:cs="宋体"/>
          <w:b w:val="0"/>
          <w:bCs w:val="0"/>
          <w:kern w:val="0"/>
          <w:sz w:val="24"/>
        </w:rPr>
      </w:pPr>
      <w:r>
        <w:rPr>
          <w:rFonts w:hint="eastAsia" w:ascii="宋体" w:hAnsi="宋体" w:cs="宋体"/>
          <w:b w:val="0"/>
          <w:bCs w:val="0"/>
          <w:kern w:val="0"/>
          <w:sz w:val="24"/>
          <w:lang w:val="en-US" w:eastAsia="zh-CN"/>
        </w:rPr>
        <w:t>（2）加强</w:t>
      </w:r>
      <w:r>
        <w:rPr>
          <w:rFonts w:hint="eastAsia" w:ascii="宋体" w:hAnsi="宋体" w:cs="宋体"/>
          <w:b w:val="0"/>
          <w:bCs w:val="0"/>
          <w:kern w:val="0"/>
          <w:sz w:val="24"/>
        </w:rPr>
        <w:t>作业及质量监测工具的研究</w:t>
      </w:r>
      <w:r>
        <w:rPr>
          <w:rFonts w:hint="eastAsia" w:ascii="宋体" w:hAnsi="宋体" w:cs="宋体"/>
          <w:b w:val="0"/>
          <w:bCs w:val="0"/>
          <w:kern w:val="0"/>
          <w:sz w:val="24"/>
          <w:lang w:eastAsia="zh-CN"/>
        </w:rPr>
        <w:t>。</w:t>
      </w:r>
      <w:r>
        <w:rPr>
          <w:rFonts w:hint="eastAsia" w:ascii="宋体" w:hAnsi="宋体" w:cs="宋体"/>
          <w:b w:val="0"/>
          <w:bCs w:val="0"/>
          <w:kern w:val="0"/>
          <w:sz w:val="24"/>
        </w:rPr>
        <w:t>年级组定期组织数学学科的质量调查，</w:t>
      </w:r>
      <w:r>
        <w:rPr>
          <w:rFonts w:hint="eastAsia" w:asciiTheme="minorEastAsia" w:hAnsiTheme="minorEastAsia" w:eastAsiaTheme="minorEastAsia"/>
          <w:b w:val="0"/>
          <w:bCs w:val="0"/>
          <w:sz w:val="24"/>
        </w:rPr>
        <w:t>做好质量分析和质量监控，努力优化教学过程，提高教学质量。</w:t>
      </w:r>
      <w:r>
        <w:rPr>
          <w:rFonts w:hint="eastAsia" w:asciiTheme="minorEastAsia" w:hAnsiTheme="minorEastAsia" w:eastAsiaTheme="minorEastAsia"/>
          <w:sz w:val="24"/>
          <w:lang w:val="en-US" w:eastAsia="zh-CN"/>
        </w:rPr>
        <w:t>加强双减要求下小学数学学业质量监测研究，对重点关注年级、薄弱年级、薄弱班级加强过程性监控。同时教研组做好各年级后进学生成绩跟踪调查，建立后进学生档案，努力提高后进生的学业成绩。根据阶段性质量提升情况，组织学业质量提升专题研讨，请有经验的教师关于如何提高班级学业质量或者转化后进生传授经验，互动交流。</w:t>
      </w:r>
    </w:p>
    <w:p w14:paraId="4B712C37">
      <w:pPr>
        <w:spacing w:line="480" w:lineRule="exact"/>
        <w:ind w:firstLine="480" w:firstLineChars="200"/>
        <w:rPr>
          <w:rFonts w:hint="eastAsia" w:asciiTheme="minorEastAsia" w:hAnsiTheme="minorEastAsia" w:eastAsiaTheme="minorEastAsia"/>
          <w:b/>
          <w:sz w:val="24"/>
        </w:rPr>
      </w:pPr>
      <w:r>
        <w:rPr>
          <w:rFonts w:hint="eastAsia" w:ascii="宋体" w:hAnsi="宋体" w:cs="宋体"/>
          <w:b w:val="0"/>
          <w:bCs w:val="0"/>
          <w:kern w:val="0"/>
          <w:sz w:val="24"/>
          <w:lang w:val="en-US" w:eastAsia="zh-CN"/>
        </w:rPr>
        <w:t>（3）加强作业的及时辅导和讲解</w:t>
      </w:r>
      <w:r>
        <w:rPr>
          <w:rFonts w:hint="eastAsia" w:ascii="宋体" w:hAnsi="宋体" w:cs="宋体"/>
          <w:b w:val="0"/>
          <w:bCs w:val="0"/>
          <w:kern w:val="0"/>
          <w:sz w:val="24"/>
        </w:rPr>
        <w:t>。</w:t>
      </w:r>
      <w:r>
        <w:rPr>
          <w:rFonts w:hint="eastAsia" w:asciiTheme="minorEastAsia" w:hAnsiTheme="minorEastAsia" w:eastAsiaTheme="minorEastAsia"/>
          <w:sz w:val="24"/>
        </w:rPr>
        <w:t>精心设计作业，</w:t>
      </w:r>
      <w:r>
        <w:rPr>
          <w:rFonts w:hint="eastAsia" w:ascii="宋体" w:hAnsi="宋体" w:cs="宋体"/>
          <w:kern w:val="0"/>
          <w:sz w:val="24"/>
        </w:rPr>
        <w:t>作业布置适时适量，作业批改及时、认真、细致、规范，</w:t>
      </w:r>
      <w:r>
        <w:rPr>
          <w:rFonts w:hint="eastAsia" w:asciiTheme="minorEastAsia" w:hAnsiTheme="minorEastAsia" w:eastAsiaTheme="minorEastAsia"/>
          <w:sz w:val="24"/>
        </w:rPr>
        <w:t>当天作业当天处理，教学错题不过夜，及时讲评，对学生集中问题及时反馈，适时进行补偿教学。</w:t>
      </w:r>
    </w:p>
    <w:p w14:paraId="77F363B6">
      <w:pPr>
        <w:spacing w:line="480" w:lineRule="exact"/>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4.提优补差。</w:t>
      </w:r>
    </w:p>
    <w:p w14:paraId="682B008B">
      <w:pPr>
        <w:spacing w:line="480" w:lineRule="exact"/>
        <w:ind w:firstLine="480" w:firstLineChars="200"/>
        <w:rPr>
          <w:rFonts w:asciiTheme="minorEastAsia" w:hAnsiTheme="minorEastAsia" w:eastAsiaTheme="minorEastAsia"/>
          <w:sz w:val="24"/>
        </w:rPr>
      </w:pPr>
      <w:r>
        <w:rPr>
          <w:rFonts w:asciiTheme="minorEastAsia" w:hAnsiTheme="minorEastAsia" w:eastAsiaTheme="minorEastAsia"/>
          <w:sz w:val="24"/>
        </w:rPr>
        <w:t>以提优补差为抓手，对于学困生的辅导，采用个别辅导与小组辅导相结合的方法进行学困生的辅导。学校教育与家庭教育联系起来，充分利用家庭教育的力量，家校结合。开展“一帮一”手拉手活动，利用同桌的优势，促进学困生的转化。多和学困生谈心，从思想上树立信心，思想指导行动，进行自我转化。其次，注重方法，常抓不懈，做到以下几点：加倍关爱。学困生更需要老师的关心和爱护。面对学困生，必须要加倍关爱，使师生间保持默契的情感交流，学生自然便“亲其师，信其道”。扬长避短。应及时发现学困生生身上的闪光点，大力加以挖掘、表扬和鼓励，做到有的放矢，充分激发他们的自尊心、自善心。从而做到“扬长避短”。坚持不懈。正视学困生的反复性，细致分析其思想变化，坚持不懈地做细致工作。要“动之以情，晓之以理”采用耐心教育和说服的方法，用真诚去唤起他的良知。严格要求。注意个别诱导，实行因人施教，对症下药，严格要求。老师对学困生的教育必须把握契机，适当分寸，做到长善救失。</w:t>
      </w:r>
      <w:r>
        <w:rPr>
          <w:rFonts w:asciiTheme="minorEastAsia" w:hAnsiTheme="minorEastAsia" w:eastAsiaTheme="minorEastAsia"/>
          <w:sz w:val="24"/>
        </w:rPr>
        <w:br w:type="textWrapping"/>
      </w:r>
      <w:r>
        <w:rPr>
          <w:rFonts w:hint="eastAsia" w:asciiTheme="minorEastAsia" w:hAnsiTheme="minorEastAsia" w:eastAsiaTheme="minorEastAsia"/>
          <w:sz w:val="24"/>
        </w:rPr>
        <w:t xml:space="preserve">    </w:t>
      </w:r>
      <w:r>
        <w:rPr>
          <w:rFonts w:asciiTheme="minorEastAsia" w:hAnsiTheme="minorEastAsia" w:eastAsiaTheme="minorEastAsia"/>
          <w:sz w:val="24"/>
        </w:rPr>
        <w:t>齐抓共管。寻求家庭教育，学校家庭密切配合，齐抓共管。通过家访，电话访等多种途径，与家长一起研究，分析学生思想和学习情况齐抓共管，形成合力，为学困生转变营造一个良好的教育氛围。以竞赛活动为支撑，化质量提升于无形，促进学生的语言关键能力和全人发展。</w:t>
      </w:r>
    </w:p>
    <w:p w14:paraId="004D38ED">
      <w:pPr>
        <w:numPr>
          <w:ilvl w:val="0"/>
          <w:numId w:val="0"/>
        </w:numPr>
        <w:spacing w:line="480" w:lineRule="exact"/>
        <w:ind w:firstLine="482" w:firstLineChars="200"/>
        <w:rPr>
          <w:rFonts w:hint="eastAsia" w:asciiTheme="minorEastAsia" w:hAnsiTheme="minorEastAsia" w:eastAsiaTheme="minorEastAsia"/>
          <w:b/>
          <w:sz w:val="24"/>
          <w:lang w:val="en-US" w:eastAsia="zh-CN"/>
        </w:rPr>
      </w:pPr>
      <w:bookmarkStart w:id="0" w:name="_Hlk49365067"/>
      <w:r>
        <w:rPr>
          <w:rFonts w:hint="eastAsia" w:asciiTheme="minorEastAsia" w:hAnsiTheme="minorEastAsia" w:eastAsiaTheme="minorEastAsia"/>
          <w:b/>
          <w:sz w:val="24"/>
          <w:lang w:val="en-US" w:eastAsia="zh-CN"/>
        </w:rPr>
        <w:t>（二）多维度改进研究模式，提升教研价值。</w:t>
      </w:r>
    </w:p>
    <w:p w14:paraId="2D2B71E7">
      <w:pPr>
        <w:spacing w:line="480" w:lineRule="exact"/>
        <w:ind w:firstLine="482" w:firstLineChars="200"/>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1.创新教研活动模式</w:t>
      </w:r>
    </w:p>
    <w:p w14:paraId="2CB3F08C">
      <w:pPr>
        <w:spacing w:line="480" w:lineRule="exact"/>
        <w:ind w:firstLine="480" w:firstLineChars="200"/>
        <w:rPr>
          <w:rFonts w:hint="default" w:asciiTheme="minorEastAsia" w:hAnsiTheme="minorEastAsia" w:eastAsiaTheme="minorEastAsia"/>
          <w:sz w:val="24"/>
          <w:lang w:val="en-US" w:eastAsia="zh-CN"/>
        </w:rPr>
      </w:pPr>
      <w:r>
        <w:rPr>
          <w:rFonts w:hint="default" w:asciiTheme="minorEastAsia" w:hAnsiTheme="minorEastAsia" w:eastAsiaTheme="minorEastAsia"/>
          <w:sz w:val="24"/>
          <w:lang w:val="en-US" w:eastAsia="zh-CN"/>
        </w:rPr>
        <w:t>教研活动与</w:t>
      </w:r>
      <w:r>
        <w:rPr>
          <w:rFonts w:hint="eastAsia" w:asciiTheme="minorEastAsia" w:hAnsiTheme="minorEastAsia" w:eastAsiaTheme="minorEastAsia"/>
          <w:sz w:val="24"/>
          <w:lang w:val="en-US" w:eastAsia="zh-CN"/>
        </w:rPr>
        <w:t>项目研究</w:t>
      </w:r>
      <w:r>
        <w:rPr>
          <w:rFonts w:hint="default" w:asciiTheme="minorEastAsia" w:hAnsiTheme="minorEastAsia" w:eastAsiaTheme="minorEastAsia"/>
          <w:sz w:val="24"/>
          <w:lang w:val="en-US" w:eastAsia="zh-CN"/>
        </w:rPr>
        <w:t>、课题研究</w:t>
      </w:r>
      <w:r>
        <w:rPr>
          <w:rFonts w:hint="eastAsia" w:asciiTheme="minorEastAsia" w:hAnsiTheme="minorEastAsia" w:eastAsiaTheme="minorEastAsia"/>
          <w:sz w:val="24"/>
          <w:lang w:val="en-US" w:eastAsia="zh-CN"/>
        </w:rPr>
        <w:t>、备课活动</w:t>
      </w:r>
      <w:r>
        <w:rPr>
          <w:rFonts w:hint="default" w:asciiTheme="minorEastAsia" w:hAnsiTheme="minorEastAsia" w:eastAsiaTheme="minorEastAsia"/>
          <w:sz w:val="24"/>
          <w:lang w:val="en-US" w:eastAsia="zh-CN"/>
        </w:rPr>
        <w:t>联动，创生更好的教研活动模式</w:t>
      </w:r>
      <w:r>
        <w:rPr>
          <w:rFonts w:hint="eastAsia" w:asciiTheme="minorEastAsia" w:hAnsiTheme="minorEastAsia" w:eastAsiaTheme="minorEastAsia"/>
          <w:sz w:val="24"/>
          <w:lang w:val="en-US" w:eastAsia="zh-CN"/>
        </w:rPr>
        <w:t>。如结合暑期的教师读书活动和平时的一些理论学习，组织沙龙研讨，进行读书分享或某一篇文章的共读，读出疑难，读出思考，读出解惑，读出互动；再如组织质量提升沙龙研讨等。让教研活动</w:t>
      </w:r>
      <w:r>
        <w:rPr>
          <w:rFonts w:hint="default" w:asciiTheme="minorEastAsia" w:hAnsiTheme="minorEastAsia" w:eastAsiaTheme="minorEastAsia"/>
          <w:sz w:val="24"/>
          <w:lang w:val="en-US" w:eastAsia="zh-CN"/>
        </w:rPr>
        <w:t>与课题研究</w:t>
      </w:r>
      <w:r>
        <w:rPr>
          <w:rFonts w:hint="eastAsia" w:asciiTheme="minorEastAsia" w:hAnsiTheme="minorEastAsia" w:eastAsiaTheme="minorEastAsia"/>
          <w:sz w:val="24"/>
          <w:lang w:val="en-US" w:eastAsia="zh-CN"/>
        </w:rPr>
        <w:t>、日常教学</w:t>
      </w:r>
      <w:r>
        <w:rPr>
          <w:rFonts w:hint="default" w:asciiTheme="minorEastAsia" w:hAnsiTheme="minorEastAsia" w:eastAsiaTheme="minorEastAsia"/>
          <w:sz w:val="24"/>
          <w:lang w:val="en-US" w:eastAsia="zh-CN"/>
        </w:rPr>
        <w:t>整合融通，</w:t>
      </w:r>
      <w:r>
        <w:rPr>
          <w:rFonts w:hint="eastAsia" w:asciiTheme="minorEastAsia" w:hAnsiTheme="minorEastAsia" w:eastAsiaTheme="minorEastAsia"/>
          <w:sz w:val="24"/>
          <w:lang w:val="en-US" w:eastAsia="zh-CN"/>
        </w:rPr>
        <w:t>提升</w:t>
      </w:r>
      <w:r>
        <w:rPr>
          <w:rFonts w:hint="default" w:asciiTheme="minorEastAsia" w:hAnsiTheme="minorEastAsia" w:eastAsiaTheme="minorEastAsia"/>
          <w:sz w:val="24"/>
          <w:lang w:val="en-US" w:eastAsia="zh-CN"/>
        </w:rPr>
        <w:t>教研活动</w:t>
      </w:r>
      <w:r>
        <w:rPr>
          <w:rFonts w:hint="eastAsia" w:asciiTheme="minorEastAsia" w:hAnsiTheme="minorEastAsia" w:eastAsiaTheme="minorEastAsia"/>
          <w:sz w:val="24"/>
          <w:lang w:val="en-US" w:eastAsia="zh-CN"/>
        </w:rPr>
        <w:t>的价值</w:t>
      </w:r>
      <w:r>
        <w:rPr>
          <w:rFonts w:hint="default" w:asciiTheme="minorEastAsia" w:hAnsiTheme="minorEastAsia" w:eastAsiaTheme="minorEastAsia"/>
          <w:sz w:val="24"/>
          <w:lang w:val="en-US" w:eastAsia="zh-CN"/>
        </w:rPr>
        <w:t>。</w:t>
      </w:r>
    </w:p>
    <w:p w14:paraId="64423B82">
      <w:pPr>
        <w:spacing w:line="480" w:lineRule="exact"/>
        <w:ind w:firstLine="482" w:firstLineChars="200"/>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2.提升教师教学素养</w:t>
      </w:r>
    </w:p>
    <w:p w14:paraId="647CC6A3">
      <w:pPr>
        <w:spacing w:line="480" w:lineRule="exact"/>
        <w:ind w:firstLine="480" w:firstLineChars="200"/>
        <w:rPr>
          <w:rFonts w:hint="default" w:asciiTheme="minorEastAsia" w:hAnsiTheme="minorEastAsia" w:eastAsiaTheme="minorEastAsia"/>
          <w:b/>
          <w:sz w:val="24"/>
          <w:lang w:val="en-US" w:eastAsia="zh-CN"/>
        </w:rPr>
      </w:pPr>
      <w:r>
        <w:rPr>
          <w:rFonts w:hint="eastAsia" w:asciiTheme="minorEastAsia" w:hAnsiTheme="minorEastAsia" w:eastAsiaTheme="minorEastAsia"/>
          <w:sz w:val="24"/>
          <w:lang w:val="en-US" w:eastAsia="zh-CN"/>
        </w:rPr>
        <w:t>依托区域优质课评比赛事活动平台，继续加强青年教师的课堂基本功学习与锤炼。组织青年教师按月进行</w:t>
      </w:r>
      <w:r>
        <w:rPr>
          <w:rFonts w:hint="default" w:asciiTheme="minorEastAsia" w:hAnsiTheme="minorEastAsia" w:eastAsiaTheme="minorEastAsia"/>
          <w:sz w:val="24"/>
          <w:lang w:val="en-US" w:eastAsia="zh-CN"/>
        </w:rPr>
        <w:t>基本功训练</w:t>
      </w:r>
      <w:r>
        <w:rPr>
          <w:rFonts w:hint="eastAsia" w:asciiTheme="minorEastAsia" w:hAnsiTheme="minorEastAsia" w:eastAsiaTheme="minorEastAsia"/>
          <w:sz w:val="24"/>
          <w:lang w:val="en-US" w:eastAsia="zh-CN"/>
        </w:rPr>
        <w:t>，以其中的一项作为当月的发展主题，如：9月以年级组为单位进行练习设计，10月练习模拟上课，11月练习课堂教学，过程中施行“一对一”或“一对多”式师徒结对，本着“人人参与、互学互勉、解决问题、夯实基础”的原则，找补个人专业短板，均衡教师团队发展，促进整个教师团队尤其是青年教师的数学素养的提升。</w:t>
      </w:r>
    </w:p>
    <w:bookmarkEnd w:id="0"/>
    <w:p w14:paraId="64B4285A">
      <w:pPr>
        <w:spacing w:line="480" w:lineRule="exact"/>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lang w:val="en-US" w:eastAsia="zh-CN"/>
        </w:rPr>
        <w:t>3.</w:t>
      </w:r>
      <w:r>
        <w:rPr>
          <w:rFonts w:hint="eastAsia" w:asciiTheme="minorEastAsia" w:hAnsiTheme="minorEastAsia" w:eastAsiaTheme="minorEastAsia"/>
          <w:b/>
          <w:bCs/>
          <w:sz w:val="24"/>
        </w:rPr>
        <w:t>聚焦主题研究，积极进行新课题申报。</w:t>
      </w:r>
      <w:r>
        <w:rPr>
          <w:rFonts w:asciiTheme="minorEastAsia" w:hAnsiTheme="minorEastAsia" w:eastAsiaTheme="minorEastAsia"/>
          <w:b/>
          <w:bCs/>
          <w:sz w:val="24"/>
        </w:rPr>
        <w:t xml:space="preserve"> </w:t>
      </w:r>
    </w:p>
    <w:p w14:paraId="52D44442">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rPr>
        <w:t>本学期，将继续组织教师认真学习课题研究方面的有关理论知识，并在已有的课题经验上，</w:t>
      </w:r>
      <w:r>
        <w:rPr>
          <w:rFonts w:hint="eastAsia" w:ascii="宋体" w:hAnsi="宋体" w:cs="宋体"/>
          <w:sz w:val="24"/>
        </w:rPr>
        <w:t>结合</w:t>
      </w:r>
      <w:r>
        <w:rPr>
          <w:rFonts w:ascii="宋体" w:hAnsi="宋体" w:cs="宋体"/>
          <w:sz w:val="24"/>
        </w:rPr>
        <w:t>对</w:t>
      </w:r>
      <w:r>
        <w:rPr>
          <w:rFonts w:hint="eastAsia" w:ascii="宋体" w:hAnsi="宋体" w:cs="宋体"/>
          <w:sz w:val="24"/>
        </w:rPr>
        <w:t>课堂研究</w:t>
      </w:r>
      <w:r>
        <w:rPr>
          <w:rFonts w:ascii="宋体" w:hAnsi="宋体" w:cs="宋体"/>
          <w:sz w:val="24"/>
        </w:rPr>
        <w:t>的思考，</w:t>
      </w:r>
      <w:r>
        <w:rPr>
          <w:rFonts w:hint="eastAsia" w:ascii="宋体" w:hAnsi="宋体" w:cs="宋体"/>
          <w:sz w:val="24"/>
        </w:rPr>
        <w:t>聚焦主题研究，寻找新的课题切入口，</w:t>
      </w:r>
      <w:r>
        <w:rPr>
          <w:rFonts w:ascii="宋体" w:hAnsi="宋体" w:cs="宋体"/>
          <w:sz w:val="24"/>
        </w:rPr>
        <w:t>积极进行</w:t>
      </w:r>
      <w:r>
        <w:rPr>
          <w:rFonts w:hint="eastAsia" w:ascii="宋体" w:hAnsi="宋体" w:cs="宋体"/>
          <w:sz w:val="24"/>
        </w:rPr>
        <w:t>新</w:t>
      </w:r>
      <w:r>
        <w:rPr>
          <w:rFonts w:ascii="宋体" w:hAnsi="宋体" w:cs="宋体"/>
          <w:sz w:val="24"/>
        </w:rPr>
        <w:t>课题申报、专题研讨等活动，以科研促教研，鼓励教师自觉将教育教学经验适时转化成显性成果</w:t>
      </w:r>
      <w:r>
        <w:rPr>
          <w:rFonts w:hint="eastAsia" w:ascii="宋体" w:hAnsi="宋体" w:cs="宋体"/>
          <w:sz w:val="24"/>
        </w:rPr>
        <w:t>，</w:t>
      </w:r>
      <w:r>
        <w:rPr>
          <w:rFonts w:hint="eastAsia" w:asciiTheme="minorEastAsia" w:hAnsiTheme="minorEastAsia" w:eastAsiaTheme="minorEastAsia"/>
          <w:sz w:val="24"/>
        </w:rPr>
        <w:t>提高教师的教学理论研究与实践水平。鼓励每位青年教师力求在省、市级以上刊物发表文章，同时配合教科室</w:t>
      </w:r>
      <w:r>
        <w:rPr>
          <w:rFonts w:hint="eastAsia" w:asciiTheme="minorEastAsia" w:hAnsiTheme="minorEastAsia" w:eastAsiaTheme="minorEastAsia"/>
          <w:sz w:val="24"/>
          <w:lang w:val="en-US" w:eastAsia="zh-CN"/>
        </w:rPr>
        <w:t>积极参与十一月中旬市小学数学年会优秀论文评比活动。</w:t>
      </w:r>
    </w:p>
    <w:p w14:paraId="6413B0D7">
      <w:pPr>
        <w:numPr>
          <w:numId w:val="0"/>
        </w:numPr>
        <w:spacing w:line="480" w:lineRule="exact"/>
        <w:ind w:firstLine="482" w:firstLineChars="200"/>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4.打造教师成长服务体系</w:t>
      </w:r>
    </w:p>
    <w:p w14:paraId="5D81C1BE">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教师队伍是教师质量的保障，重视教师个性化发展路径搭建，健全教师评价激励机制。对于新教师进行入格培养，平时定期进行推门听课，严格把控新教师教学质量。对青年教师进行升格培养，开展板书设计、课件制作、语言表达等教学基本技能培训，提升青年教师课堂教学能力，积极鼓励青年教师参加各级各类教学竞赛，以赛促教，提升教学水平和创新能力。对资深教师进行风格培养，首先进行自我了解，知道自己的风格，找到自己教学上的独特优势，思考自己想成为什么样的老师，同时学习先进理念，将其融入自己的教学实践中。</w:t>
      </w:r>
    </w:p>
    <w:p w14:paraId="56B9C8DA">
      <w:pPr>
        <w:numPr>
          <w:ilvl w:val="0"/>
          <w:numId w:val="1"/>
        </w:numPr>
        <w:spacing w:line="480" w:lineRule="exact"/>
        <w:ind w:left="0" w:leftChars="0"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活动行事历</w:t>
      </w:r>
    </w:p>
    <w:tbl>
      <w:tblPr>
        <w:tblStyle w:val="2"/>
        <w:tblW w:w="4998" w:type="pct"/>
        <w:jc w:val="center"/>
        <w:tblLayout w:type="autofit"/>
        <w:tblCellMar>
          <w:top w:w="0" w:type="dxa"/>
          <w:left w:w="0" w:type="dxa"/>
          <w:bottom w:w="0" w:type="dxa"/>
          <w:right w:w="0" w:type="dxa"/>
        </w:tblCellMar>
      </w:tblPr>
      <w:tblGrid>
        <w:gridCol w:w="372"/>
        <w:gridCol w:w="594"/>
        <w:gridCol w:w="432"/>
        <w:gridCol w:w="494"/>
        <w:gridCol w:w="432"/>
        <w:gridCol w:w="432"/>
        <w:gridCol w:w="494"/>
        <w:gridCol w:w="432"/>
        <w:gridCol w:w="494"/>
        <w:gridCol w:w="4157"/>
      </w:tblGrid>
      <w:tr w14:paraId="13A63E7F">
        <w:tblPrEx>
          <w:tblCellMar>
            <w:top w:w="0" w:type="dxa"/>
            <w:left w:w="0" w:type="dxa"/>
            <w:bottom w:w="0" w:type="dxa"/>
            <w:right w:w="0" w:type="dxa"/>
          </w:tblCellMar>
        </w:tblPrEx>
        <w:trPr>
          <w:cantSplit/>
          <w:trHeight w:val="460" w:hRule="atLeast"/>
          <w:jc w:val="center"/>
        </w:trPr>
        <w:tc>
          <w:tcPr>
            <w:tcW w:w="234" w:type="pct"/>
            <w:vMerge w:val="restart"/>
            <w:tcBorders>
              <w:top w:val="single" w:color="auto" w:sz="12" w:space="0"/>
              <w:left w:val="single" w:color="auto" w:sz="12" w:space="0"/>
              <w:bottom w:val="single" w:color="auto" w:sz="4" w:space="0"/>
              <w:right w:val="single" w:color="auto" w:sz="4" w:space="0"/>
            </w:tcBorders>
            <w:vAlign w:val="center"/>
          </w:tcPr>
          <w:p w14:paraId="7C50A1AC">
            <w:pPr>
              <w:spacing w:line="360" w:lineRule="auto"/>
              <w:jc w:val="center"/>
              <w:rPr>
                <w:rFonts w:ascii="仿宋" w:hAnsi="仿宋" w:eastAsia="仿宋"/>
                <w:b/>
                <w:bCs/>
                <w:sz w:val="24"/>
              </w:rPr>
            </w:pPr>
            <w:r>
              <w:rPr>
                <w:rFonts w:hint="eastAsia" w:ascii="仿宋" w:hAnsi="仿宋" w:eastAsia="仿宋"/>
                <w:b/>
                <w:bCs/>
                <w:sz w:val="24"/>
              </w:rPr>
              <w:t>月</w:t>
            </w:r>
          </w:p>
          <w:p w14:paraId="18824F18">
            <w:pPr>
              <w:spacing w:line="360" w:lineRule="auto"/>
              <w:jc w:val="center"/>
              <w:rPr>
                <w:rFonts w:ascii="仿宋" w:hAnsi="仿宋" w:eastAsia="仿宋"/>
                <w:b/>
                <w:bCs/>
                <w:sz w:val="24"/>
              </w:rPr>
            </w:pPr>
            <w:r>
              <w:rPr>
                <w:rFonts w:hint="eastAsia" w:ascii="仿宋" w:hAnsi="仿宋" w:eastAsia="仿宋"/>
                <w:b/>
                <w:bCs/>
                <w:sz w:val="24"/>
              </w:rPr>
              <w:t>份</w:t>
            </w:r>
          </w:p>
        </w:tc>
        <w:tc>
          <w:tcPr>
            <w:tcW w:w="367" w:type="pct"/>
            <w:vMerge w:val="restart"/>
            <w:tcBorders>
              <w:top w:val="single" w:color="auto" w:sz="12" w:space="0"/>
              <w:left w:val="nil"/>
              <w:bottom w:val="single" w:color="auto" w:sz="4" w:space="0"/>
              <w:right w:val="single" w:color="auto" w:sz="4" w:space="0"/>
            </w:tcBorders>
            <w:vAlign w:val="center"/>
          </w:tcPr>
          <w:p w14:paraId="5D56DA57">
            <w:pPr>
              <w:spacing w:line="360" w:lineRule="auto"/>
              <w:jc w:val="center"/>
              <w:rPr>
                <w:rFonts w:ascii="仿宋" w:hAnsi="仿宋" w:eastAsia="仿宋"/>
                <w:b/>
                <w:bCs/>
                <w:sz w:val="24"/>
              </w:rPr>
            </w:pPr>
            <w:r>
              <w:rPr>
                <w:rFonts w:hint="eastAsia" w:ascii="仿宋" w:hAnsi="仿宋" w:eastAsia="仿宋"/>
                <w:b/>
                <w:bCs/>
                <w:sz w:val="24"/>
              </w:rPr>
              <w:t>周次</w:t>
            </w:r>
          </w:p>
        </w:tc>
        <w:tc>
          <w:tcPr>
            <w:tcW w:w="1893" w:type="pct"/>
            <w:gridSpan w:val="7"/>
            <w:tcBorders>
              <w:top w:val="single" w:color="auto" w:sz="12" w:space="0"/>
              <w:left w:val="nil"/>
              <w:bottom w:val="single" w:color="auto" w:sz="4" w:space="0"/>
              <w:right w:val="single" w:color="auto" w:sz="4" w:space="0"/>
            </w:tcBorders>
            <w:vAlign w:val="center"/>
          </w:tcPr>
          <w:p w14:paraId="20E56B25">
            <w:pPr>
              <w:spacing w:line="360" w:lineRule="auto"/>
              <w:jc w:val="center"/>
              <w:rPr>
                <w:rFonts w:ascii="仿宋" w:hAnsi="仿宋" w:eastAsia="仿宋"/>
                <w:b/>
                <w:bCs/>
                <w:sz w:val="24"/>
              </w:rPr>
            </w:pPr>
            <w:r>
              <w:rPr>
                <w:rFonts w:hint="eastAsia" w:ascii="仿宋" w:hAnsi="仿宋" w:eastAsia="仿宋"/>
                <w:b/>
                <w:bCs/>
                <w:sz w:val="24"/>
              </w:rPr>
              <w:t>日   期</w:t>
            </w:r>
          </w:p>
        </w:tc>
        <w:tc>
          <w:tcPr>
            <w:tcW w:w="2504" w:type="pct"/>
            <w:vMerge w:val="restart"/>
            <w:tcBorders>
              <w:top w:val="single" w:color="auto" w:sz="12" w:space="0"/>
              <w:left w:val="nil"/>
              <w:bottom w:val="single" w:color="auto" w:sz="4" w:space="0"/>
              <w:right w:val="single" w:color="auto" w:sz="12" w:space="0"/>
            </w:tcBorders>
            <w:vAlign w:val="center"/>
          </w:tcPr>
          <w:p w14:paraId="3C47E217">
            <w:pPr>
              <w:spacing w:line="360" w:lineRule="auto"/>
              <w:jc w:val="center"/>
              <w:rPr>
                <w:rFonts w:ascii="仿宋" w:hAnsi="仿宋" w:eastAsia="仿宋"/>
                <w:b/>
                <w:bCs/>
                <w:sz w:val="24"/>
              </w:rPr>
            </w:pPr>
            <w:r>
              <w:rPr>
                <w:rFonts w:hint="eastAsia" w:ascii="仿宋" w:hAnsi="仿宋" w:eastAsia="仿宋"/>
                <w:b/>
                <w:bCs/>
                <w:sz w:val="24"/>
              </w:rPr>
              <w:t>活  动  内  容</w:t>
            </w:r>
          </w:p>
        </w:tc>
      </w:tr>
      <w:tr w14:paraId="21925E41">
        <w:tblPrEx>
          <w:tblCellMar>
            <w:top w:w="0" w:type="dxa"/>
            <w:left w:w="0" w:type="dxa"/>
            <w:bottom w:w="0" w:type="dxa"/>
            <w:right w:w="0" w:type="dxa"/>
          </w:tblCellMar>
        </w:tblPrEx>
        <w:trPr>
          <w:cantSplit/>
          <w:trHeight w:val="315" w:hRule="atLeast"/>
          <w:jc w:val="center"/>
        </w:trPr>
        <w:tc>
          <w:tcPr>
            <w:tcW w:w="234" w:type="pct"/>
            <w:vMerge w:val="continue"/>
            <w:tcBorders>
              <w:top w:val="single" w:color="auto" w:sz="12" w:space="0"/>
              <w:left w:val="single" w:color="auto" w:sz="12" w:space="0"/>
              <w:bottom w:val="single" w:color="auto" w:sz="4" w:space="0"/>
              <w:right w:val="single" w:color="auto" w:sz="4" w:space="0"/>
            </w:tcBorders>
            <w:vAlign w:val="center"/>
          </w:tcPr>
          <w:p w14:paraId="4BABEB40">
            <w:pPr>
              <w:widowControl/>
              <w:jc w:val="left"/>
              <w:rPr>
                <w:rFonts w:ascii="仿宋" w:hAnsi="仿宋" w:eastAsia="仿宋"/>
                <w:b/>
                <w:bCs/>
                <w:sz w:val="24"/>
              </w:rPr>
            </w:pPr>
          </w:p>
        </w:tc>
        <w:tc>
          <w:tcPr>
            <w:tcW w:w="367" w:type="pct"/>
            <w:vMerge w:val="continue"/>
            <w:tcBorders>
              <w:top w:val="single" w:color="auto" w:sz="12" w:space="0"/>
              <w:left w:val="nil"/>
              <w:bottom w:val="single" w:color="auto" w:sz="4" w:space="0"/>
              <w:right w:val="single" w:color="auto" w:sz="4" w:space="0"/>
            </w:tcBorders>
            <w:vAlign w:val="center"/>
          </w:tcPr>
          <w:p w14:paraId="1D33B665">
            <w:pPr>
              <w:widowControl/>
              <w:jc w:val="left"/>
              <w:rPr>
                <w:rFonts w:ascii="仿宋" w:hAnsi="仿宋" w:eastAsia="仿宋"/>
                <w:b/>
                <w:bCs/>
                <w:sz w:val="24"/>
              </w:rPr>
            </w:pPr>
          </w:p>
        </w:tc>
        <w:tc>
          <w:tcPr>
            <w:tcW w:w="270" w:type="pct"/>
            <w:tcBorders>
              <w:top w:val="single" w:color="auto" w:sz="4" w:space="0"/>
              <w:left w:val="nil"/>
              <w:bottom w:val="single" w:color="auto" w:sz="12" w:space="0"/>
              <w:right w:val="single" w:color="auto" w:sz="4" w:space="0"/>
            </w:tcBorders>
            <w:vAlign w:val="center"/>
          </w:tcPr>
          <w:p w14:paraId="69E7948B">
            <w:pPr>
              <w:spacing w:line="360" w:lineRule="auto"/>
              <w:jc w:val="center"/>
              <w:rPr>
                <w:rFonts w:ascii="仿宋" w:hAnsi="仿宋" w:eastAsia="仿宋"/>
                <w:b/>
                <w:bCs/>
                <w:sz w:val="24"/>
              </w:rPr>
            </w:pPr>
            <w:r>
              <w:rPr>
                <w:rFonts w:hint="eastAsia" w:ascii="仿宋" w:hAnsi="仿宋" w:eastAsia="仿宋"/>
                <w:b/>
                <w:bCs/>
                <w:sz w:val="24"/>
              </w:rPr>
              <w:t>一</w:t>
            </w:r>
          </w:p>
        </w:tc>
        <w:tc>
          <w:tcPr>
            <w:tcW w:w="270" w:type="pct"/>
            <w:tcBorders>
              <w:top w:val="single" w:color="auto" w:sz="4" w:space="0"/>
              <w:left w:val="nil"/>
              <w:bottom w:val="single" w:color="auto" w:sz="12" w:space="0"/>
              <w:right w:val="single" w:color="auto" w:sz="4" w:space="0"/>
            </w:tcBorders>
            <w:vAlign w:val="center"/>
          </w:tcPr>
          <w:p w14:paraId="475BAEB5">
            <w:pPr>
              <w:spacing w:line="360" w:lineRule="auto"/>
              <w:jc w:val="center"/>
              <w:rPr>
                <w:rFonts w:ascii="仿宋" w:hAnsi="仿宋" w:eastAsia="仿宋"/>
                <w:b/>
                <w:bCs/>
                <w:sz w:val="24"/>
              </w:rPr>
            </w:pPr>
            <w:r>
              <w:rPr>
                <w:rFonts w:hint="eastAsia" w:ascii="仿宋" w:hAnsi="仿宋" w:eastAsia="仿宋"/>
                <w:b/>
                <w:bCs/>
                <w:sz w:val="24"/>
              </w:rPr>
              <w:t>二</w:t>
            </w:r>
          </w:p>
        </w:tc>
        <w:tc>
          <w:tcPr>
            <w:tcW w:w="270" w:type="pct"/>
            <w:tcBorders>
              <w:top w:val="single" w:color="auto" w:sz="4" w:space="0"/>
              <w:left w:val="nil"/>
              <w:bottom w:val="single" w:color="auto" w:sz="12" w:space="0"/>
              <w:right w:val="single" w:color="auto" w:sz="4" w:space="0"/>
            </w:tcBorders>
            <w:vAlign w:val="center"/>
          </w:tcPr>
          <w:p w14:paraId="5B2DD64E">
            <w:pPr>
              <w:spacing w:line="360" w:lineRule="auto"/>
              <w:jc w:val="center"/>
              <w:rPr>
                <w:rFonts w:ascii="仿宋" w:hAnsi="仿宋" w:eastAsia="仿宋"/>
                <w:b/>
                <w:bCs/>
                <w:sz w:val="24"/>
              </w:rPr>
            </w:pPr>
            <w:r>
              <w:rPr>
                <w:rFonts w:hint="eastAsia" w:ascii="仿宋" w:hAnsi="仿宋" w:eastAsia="仿宋"/>
                <w:b/>
                <w:bCs/>
                <w:sz w:val="24"/>
              </w:rPr>
              <w:t>三</w:t>
            </w:r>
          </w:p>
        </w:tc>
        <w:tc>
          <w:tcPr>
            <w:tcW w:w="270" w:type="pct"/>
            <w:tcBorders>
              <w:top w:val="single" w:color="auto" w:sz="4" w:space="0"/>
              <w:left w:val="nil"/>
              <w:bottom w:val="single" w:color="auto" w:sz="12" w:space="0"/>
              <w:right w:val="single" w:color="auto" w:sz="4" w:space="0"/>
            </w:tcBorders>
            <w:vAlign w:val="center"/>
          </w:tcPr>
          <w:p w14:paraId="251CD1B7">
            <w:pPr>
              <w:spacing w:line="360" w:lineRule="auto"/>
              <w:jc w:val="center"/>
              <w:rPr>
                <w:rFonts w:ascii="仿宋" w:hAnsi="仿宋" w:eastAsia="仿宋"/>
                <w:b/>
                <w:bCs/>
                <w:sz w:val="24"/>
              </w:rPr>
            </w:pPr>
            <w:r>
              <w:rPr>
                <w:rFonts w:hint="eastAsia" w:ascii="仿宋" w:hAnsi="仿宋" w:eastAsia="仿宋"/>
                <w:b/>
                <w:bCs/>
                <w:sz w:val="24"/>
              </w:rPr>
              <w:t>四</w:t>
            </w:r>
          </w:p>
        </w:tc>
        <w:tc>
          <w:tcPr>
            <w:tcW w:w="270" w:type="pct"/>
            <w:tcBorders>
              <w:top w:val="single" w:color="auto" w:sz="4" w:space="0"/>
              <w:left w:val="nil"/>
              <w:bottom w:val="single" w:color="auto" w:sz="12" w:space="0"/>
              <w:right w:val="single" w:color="auto" w:sz="4" w:space="0"/>
            </w:tcBorders>
            <w:vAlign w:val="center"/>
          </w:tcPr>
          <w:p w14:paraId="65D6D853">
            <w:pPr>
              <w:spacing w:line="360" w:lineRule="auto"/>
              <w:jc w:val="center"/>
              <w:rPr>
                <w:rFonts w:ascii="仿宋" w:hAnsi="仿宋" w:eastAsia="仿宋"/>
                <w:b/>
                <w:bCs/>
                <w:sz w:val="24"/>
              </w:rPr>
            </w:pPr>
            <w:r>
              <w:rPr>
                <w:rFonts w:hint="eastAsia" w:ascii="仿宋" w:hAnsi="仿宋" w:eastAsia="仿宋"/>
                <w:b/>
                <w:bCs/>
                <w:sz w:val="24"/>
              </w:rPr>
              <w:t>五</w:t>
            </w:r>
          </w:p>
        </w:tc>
        <w:tc>
          <w:tcPr>
            <w:tcW w:w="270" w:type="pct"/>
            <w:tcBorders>
              <w:top w:val="single" w:color="auto" w:sz="4" w:space="0"/>
              <w:left w:val="nil"/>
              <w:bottom w:val="single" w:color="auto" w:sz="12" w:space="0"/>
              <w:right w:val="single" w:color="auto" w:sz="4" w:space="0"/>
            </w:tcBorders>
            <w:vAlign w:val="center"/>
          </w:tcPr>
          <w:p w14:paraId="4976BA6E">
            <w:pPr>
              <w:spacing w:line="360" w:lineRule="auto"/>
              <w:jc w:val="center"/>
              <w:rPr>
                <w:rFonts w:ascii="仿宋" w:hAnsi="仿宋" w:eastAsia="仿宋"/>
                <w:b/>
                <w:bCs/>
                <w:sz w:val="24"/>
              </w:rPr>
            </w:pPr>
            <w:r>
              <w:rPr>
                <w:rFonts w:hint="eastAsia" w:ascii="仿宋" w:hAnsi="仿宋" w:eastAsia="仿宋"/>
                <w:b/>
                <w:bCs/>
                <w:sz w:val="24"/>
              </w:rPr>
              <w:t>六</w:t>
            </w:r>
          </w:p>
        </w:tc>
        <w:tc>
          <w:tcPr>
            <w:tcW w:w="271" w:type="pct"/>
            <w:tcBorders>
              <w:top w:val="single" w:color="auto" w:sz="4" w:space="0"/>
              <w:left w:val="nil"/>
              <w:bottom w:val="single" w:color="auto" w:sz="12" w:space="0"/>
              <w:right w:val="single" w:color="auto" w:sz="4" w:space="0"/>
            </w:tcBorders>
            <w:vAlign w:val="center"/>
          </w:tcPr>
          <w:p w14:paraId="1D708E4D">
            <w:pPr>
              <w:spacing w:line="360" w:lineRule="auto"/>
              <w:jc w:val="center"/>
              <w:rPr>
                <w:rFonts w:ascii="仿宋" w:hAnsi="仿宋" w:eastAsia="仿宋"/>
                <w:b/>
                <w:bCs/>
                <w:sz w:val="24"/>
              </w:rPr>
            </w:pPr>
            <w:r>
              <w:rPr>
                <w:rFonts w:hint="eastAsia" w:ascii="仿宋" w:hAnsi="仿宋" w:eastAsia="仿宋"/>
                <w:b/>
                <w:bCs/>
                <w:sz w:val="24"/>
              </w:rPr>
              <w:t>日</w:t>
            </w:r>
          </w:p>
        </w:tc>
        <w:tc>
          <w:tcPr>
            <w:tcW w:w="2504" w:type="pct"/>
            <w:vMerge w:val="continue"/>
            <w:tcBorders>
              <w:top w:val="single" w:color="auto" w:sz="12" w:space="0"/>
              <w:left w:val="nil"/>
              <w:bottom w:val="single" w:color="auto" w:sz="4" w:space="0"/>
              <w:right w:val="single" w:color="auto" w:sz="12" w:space="0"/>
            </w:tcBorders>
            <w:vAlign w:val="center"/>
          </w:tcPr>
          <w:p w14:paraId="27309BDC">
            <w:pPr>
              <w:widowControl/>
              <w:jc w:val="left"/>
              <w:rPr>
                <w:rFonts w:ascii="仿宋" w:hAnsi="仿宋" w:eastAsia="仿宋"/>
                <w:b/>
                <w:bCs/>
                <w:sz w:val="24"/>
              </w:rPr>
            </w:pPr>
          </w:p>
        </w:tc>
      </w:tr>
      <w:tr w14:paraId="76DA0EB6">
        <w:tblPrEx>
          <w:tblCellMar>
            <w:top w:w="0" w:type="dxa"/>
            <w:left w:w="0" w:type="dxa"/>
            <w:bottom w:w="0" w:type="dxa"/>
            <w:right w:w="0" w:type="dxa"/>
          </w:tblCellMar>
        </w:tblPrEx>
        <w:trPr>
          <w:cantSplit/>
          <w:trHeight w:val="624" w:hRule="atLeast"/>
          <w:jc w:val="center"/>
        </w:trPr>
        <w:tc>
          <w:tcPr>
            <w:tcW w:w="234" w:type="pct"/>
            <w:vMerge w:val="restart"/>
            <w:tcBorders>
              <w:top w:val="single" w:color="auto" w:sz="4" w:space="0"/>
              <w:left w:val="single" w:color="auto" w:sz="12" w:space="0"/>
              <w:bottom w:val="single" w:color="auto" w:sz="4" w:space="0"/>
              <w:right w:val="single" w:color="auto" w:sz="4" w:space="0"/>
            </w:tcBorders>
            <w:vAlign w:val="center"/>
          </w:tcPr>
          <w:p w14:paraId="51BDAAEB">
            <w:pPr>
              <w:spacing w:line="360" w:lineRule="auto"/>
              <w:rPr>
                <w:rFonts w:ascii="仿宋" w:hAnsi="仿宋" w:eastAsia="仿宋"/>
                <w:b/>
                <w:bCs/>
              </w:rPr>
            </w:pPr>
            <w:r>
              <w:rPr>
                <w:rFonts w:hint="eastAsia" w:ascii="仿宋" w:hAnsi="仿宋" w:eastAsia="仿宋"/>
                <w:b/>
                <w:bCs/>
              </w:rPr>
              <w:t>九月</w:t>
            </w:r>
          </w:p>
        </w:tc>
        <w:tc>
          <w:tcPr>
            <w:tcW w:w="367" w:type="pct"/>
            <w:tcBorders>
              <w:top w:val="single" w:color="auto" w:sz="4" w:space="0"/>
              <w:left w:val="nil"/>
              <w:bottom w:val="single" w:color="auto" w:sz="4" w:space="0"/>
              <w:right w:val="single" w:color="auto" w:sz="4" w:space="0"/>
            </w:tcBorders>
            <w:vAlign w:val="center"/>
          </w:tcPr>
          <w:p w14:paraId="4A6A314E">
            <w:pPr>
              <w:spacing w:line="360" w:lineRule="auto"/>
              <w:jc w:val="center"/>
              <w:rPr>
                <w:rFonts w:ascii="黑体" w:hAnsi="黑体" w:eastAsia="黑体"/>
                <w:b/>
                <w:bCs/>
                <w:color w:val="7030A0"/>
              </w:rPr>
            </w:pPr>
            <w:r>
              <w:rPr>
                <w:rFonts w:hint="eastAsia" w:ascii="黑体" w:hAnsi="黑体" w:eastAsia="黑体"/>
                <w:b/>
                <w:bCs/>
                <w:color w:val="7030A0"/>
              </w:rPr>
              <w:t>一</w:t>
            </w:r>
          </w:p>
        </w:tc>
        <w:tc>
          <w:tcPr>
            <w:tcW w:w="270" w:type="pct"/>
            <w:tcBorders>
              <w:top w:val="single" w:color="auto" w:sz="4" w:space="0"/>
              <w:left w:val="nil"/>
              <w:bottom w:val="single" w:color="auto" w:sz="4" w:space="0"/>
              <w:right w:val="single" w:color="auto" w:sz="4" w:space="0"/>
            </w:tcBorders>
            <w:vAlign w:val="center"/>
          </w:tcPr>
          <w:p w14:paraId="2B9A1BE1">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40C2C743">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514001A0">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3025C78E">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7D88CA6A">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295FBB2C">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val="en-US" w:eastAsia="zh-CN"/>
              </w:rPr>
              <w:t>7</w:t>
            </w:r>
          </w:p>
        </w:tc>
        <w:tc>
          <w:tcPr>
            <w:tcW w:w="271" w:type="pct"/>
            <w:tcBorders>
              <w:top w:val="single" w:color="auto" w:sz="4" w:space="0"/>
              <w:left w:val="nil"/>
              <w:bottom w:val="single" w:color="auto" w:sz="4" w:space="0"/>
              <w:right w:val="single" w:color="auto" w:sz="4" w:space="0"/>
            </w:tcBorders>
            <w:vAlign w:val="center"/>
          </w:tcPr>
          <w:p w14:paraId="2DF9BDD4">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val="en-US" w:eastAsia="zh-CN"/>
              </w:rPr>
              <w:t>8</w:t>
            </w:r>
          </w:p>
        </w:tc>
        <w:tc>
          <w:tcPr>
            <w:tcW w:w="2504" w:type="pct"/>
            <w:tcBorders>
              <w:top w:val="single" w:color="auto" w:sz="4" w:space="0"/>
              <w:left w:val="nil"/>
              <w:bottom w:val="single" w:color="auto" w:sz="4" w:space="0"/>
              <w:right w:val="single" w:color="auto" w:sz="12" w:space="0"/>
            </w:tcBorders>
            <w:vAlign w:val="center"/>
          </w:tcPr>
          <w:p w14:paraId="4713AC3C">
            <w:pPr>
              <w:snapToGrid w:val="0"/>
              <w:spacing w:line="340" w:lineRule="exact"/>
              <w:ind w:firstLine="210" w:firstLineChars="100"/>
              <w:jc w:val="center"/>
              <w:rPr>
                <w:rFonts w:hint="eastAsia" w:ascii="楷体" w:hAnsi="楷体" w:eastAsia="宋体" w:cs="楷体"/>
                <w:sz w:val="24"/>
                <w:lang w:val="en-US" w:eastAsia="zh-CN"/>
              </w:rPr>
            </w:pPr>
            <w:r>
              <w:rPr>
                <w:rFonts w:hint="eastAsia" w:ascii="宋体" w:hAnsi="宋体"/>
                <w:lang w:val="en-US" w:eastAsia="zh-CN"/>
              </w:rPr>
              <w:t>新教材培训，初定</w:t>
            </w:r>
            <w:r>
              <w:rPr>
                <w:rFonts w:hint="eastAsia" w:ascii="宋体" w:hAnsi="宋体"/>
              </w:rPr>
              <w:t>教研组计划</w:t>
            </w:r>
            <w:r>
              <w:rPr>
                <w:rFonts w:hint="eastAsia" w:ascii="宋体" w:hAnsi="宋体"/>
                <w:lang w:eastAsia="zh-CN"/>
              </w:rPr>
              <w:t>。</w:t>
            </w:r>
          </w:p>
        </w:tc>
      </w:tr>
      <w:tr w14:paraId="2820DEAA">
        <w:tblPrEx>
          <w:tblCellMar>
            <w:top w:w="0" w:type="dxa"/>
            <w:left w:w="0" w:type="dxa"/>
            <w:bottom w:w="0" w:type="dxa"/>
            <w:right w:w="0" w:type="dxa"/>
          </w:tblCellMar>
        </w:tblPrEx>
        <w:trPr>
          <w:cantSplit/>
          <w:trHeight w:val="624" w:hRule="atLeast"/>
          <w:jc w:val="center"/>
        </w:trPr>
        <w:tc>
          <w:tcPr>
            <w:tcW w:w="234" w:type="pct"/>
            <w:vMerge w:val="continue"/>
            <w:tcBorders>
              <w:top w:val="single" w:color="auto" w:sz="4" w:space="0"/>
              <w:left w:val="single" w:color="auto" w:sz="12" w:space="0"/>
              <w:bottom w:val="single" w:color="auto" w:sz="4" w:space="0"/>
              <w:right w:val="single" w:color="auto" w:sz="4" w:space="0"/>
            </w:tcBorders>
            <w:vAlign w:val="center"/>
          </w:tcPr>
          <w:p w14:paraId="4E4A358A">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1A36877E">
            <w:pPr>
              <w:spacing w:line="360" w:lineRule="auto"/>
              <w:jc w:val="center"/>
              <w:rPr>
                <w:rFonts w:ascii="黑体" w:hAnsi="黑体" w:eastAsia="黑体"/>
                <w:b/>
                <w:bCs/>
                <w:color w:val="7030A0"/>
              </w:rPr>
            </w:pPr>
            <w:r>
              <w:rPr>
                <w:rFonts w:hint="eastAsia" w:ascii="黑体" w:hAnsi="黑体" w:eastAsia="黑体"/>
                <w:b/>
                <w:bCs/>
                <w:color w:val="7030A0"/>
              </w:rPr>
              <w:t>二</w:t>
            </w:r>
          </w:p>
        </w:tc>
        <w:tc>
          <w:tcPr>
            <w:tcW w:w="270" w:type="pct"/>
            <w:tcBorders>
              <w:top w:val="single" w:color="auto" w:sz="4" w:space="0"/>
              <w:left w:val="nil"/>
              <w:bottom w:val="single" w:color="auto" w:sz="4" w:space="0"/>
              <w:right w:val="single" w:color="auto" w:sz="4" w:space="0"/>
            </w:tcBorders>
            <w:vAlign w:val="center"/>
          </w:tcPr>
          <w:p w14:paraId="709E3584">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6D6292EE">
            <w:pPr>
              <w:snapToGrid w:val="0"/>
              <w:spacing w:line="400" w:lineRule="exact"/>
              <w:jc w:val="center"/>
              <w:rPr>
                <w:rFonts w:hint="default" w:ascii="黑体" w:hAnsi="黑体" w:eastAsia="黑体"/>
                <w:b/>
                <w:bCs/>
                <w:color w:val="000000"/>
                <w:sz w:val="24"/>
                <w:lang w:val="en-US" w:eastAsia="zh-CN"/>
              </w:rPr>
            </w:pPr>
            <w:r>
              <w:rPr>
                <w:rFonts w:hint="eastAsia" w:ascii="黑体" w:hAnsi="黑体" w:eastAsia="黑体"/>
                <w:b/>
                <w:bCs/>
                <w:color w:val="000000"/>
                <w:sz w:val="24"/>
                <w:lang w:val="en-US" w:eastAsia="zh-CN"/>
              </w:rPr>
              <w:t>10</w:t>
            </w:r>
          </w:p>
        </w:tc>
        <w:tc>
          <w:tcPr>
            <w:tcW w:w="270" w:type="pct"/>
            <w:tcBorders>
              <w:top w:val="single" w:color="auto" w:sz="4" w:space="0"/>
              <w:left w:val="nil"/>
              <w:bottom w:val="single" w:color="auto" w:sz="4" w:space="0"/>
              <w:right w:val="single" w:color="auto" w:sz="4" w:space="0"/>
            </w:tcBorders>
            <w:vAlign w:val="center"/>
          </w:tcPr>
          <w:p w14:paraId="6CF725DE">
            <w:pPr>
              <w:snapToGrid w:val="0"/>
              <w:spacing w:line="400" w:lineRule="exact"/>
              <w:jc w:val="center"/>
              <w:rPr>
                <w:rFonts w:hint="default" w:ascii="黑体" w:hAnsi="黑体" w:eastAsia="黑体"/>
                <w:b/>
                <w:bCs/>
                <w:color w:val="FF0000"/>
                <w:sz w:val="24"/>
                <w:lang w:val="en-US" w:eastAsia="zh-CN"/>
              </w:rPr>
            </w:pPr>
            <w:r>
              <w:rPr>
                <w:rFonts w:hint="eastAsia" w:ascii="黑体" w:hAnsi="黑体" w:eastAsia="黑体"/>
                <w:b/>
                <w:bCs/>
                <w:color w:val="FF0000"/>
                <w:sz w:val="24"/>
                <w:lang w:val="en-US" w:eastAsia="zh-CN"/>
              </w:rPr>
              <w:t>11</w:t>
            </w:r>
          </w:p>
        </w:tc>
        <w:tc>
          <w:tcPr>
            <w:tcW w:w="270" w:type="pct"/>
            <w:tcBorders>
              <w:top w:val="single" w:color="auto" w:sz="4" w:space="0"/>
              <w:left w:val="nil"/>
              <w:bottom w:val="single" w:color="auto" w:sz="4" w:space="0"/>
              <w:right w:val="single" w:color="auto" w:sz="4" w:space="0"/>
            </w:tcBorders>
            <w:vAlign w:val="center"/>
          </w:tcPr>
          <w:p w14:paraId="1B0D107C">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1</w:t>
            </w:r>
            <w:r>
              <w:rPr>
                <w:rFonts w:hint="eastAsia" w:ascii="黑体" w:hAnsi="黑体" w:eastAsia="黑体"/>
                <w:b/>
                <w:bCs/>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0C5FCC90">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1</w:t>
            </w:r>
            <w:r>
              <w:rPr>
                <w:rFonts w:hint="eastAsia" w:ascii="黑体" w:hAnsi="黑体" w:eastAsia="黑体"/>
                <w:b/>
                <w:bCs/>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1052ACB7">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0000" w:themeColor="text1"/>
                <w:sz w:val="24"/>
                <w14:textFill>
                  <w14:solidFill>
                    <w14:schemeClr w14:val="tx1"/>
                  </w14:solidFill>
                </w14:textFill>
              </w:rPr>
              <w:t>1</w:t>
            </w:r>
            <w:r>
              <w:rPr>
                <w:rFonts w:hint="eastAsia" w:ascii="黑体" w:hAnsi="黑体" w:eastAsia="黑体"/>
                <w:b/>
                <w:bCs/>
                <w:color w:val="000000" w:themeColor="text1"/>
                <w:sz w:val="24"/>
                <w:lang w:val="en-US" w:eastAsia="zh-CN"/>
                <w14:textFill>
                  <w14:solidFill>
                    <w14:schemeClr w14:val="tx1"/>
                  </w14:solidFill>
                </w14:textFill>
              </w:rPr>
              <w:t>4</w:t>
            </w:r>
          </w:p>
        </w:tc>
        <w:tc>
          <w:tcPr>
            <w:tcW w:w="271" w:type="pct"/>
            <w:tcBorders>
              <w:top w:val="single" w:color="auto" w:sz="4" w:space="0"/>
              <w:left w:val="nil"/>
              <w:bottom w:val="single" w:color="auto" w:sz="4" w:space="0"/>
              <w:right w:val="single" w:color="auto" w:sz="4" w:space="0"/>
            </w:tcBorders>
            <w:vAlign w:val="center"/>
          </w:tcPr>
          <w:p w14:paraId="4B6FC166">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5</w:t>
            </w:r>
          </w:p>
        </w:tc>
        <w:tc>
          <w:tcPr>
            <w:tcW w:w="2504" w:type="pct"/>
            <w:tcBorders>
              <w:top w:val="single" w:color="auto" w:sz="4" w:space="0"/>
              <w:left w:val="nil"/>
              <w:bottom w:val="single" w:color="auto" w:sz="4" w:space="0"/>
              <w:right w:val="single" w:color="auto" w:sz="12" w:space="0"/>
            </w:tcBorders>
            <w:vAlign w:val="center"/>
          </w:tcPr>
          <w:p w14:paraId="468AB475">
            <w:pPr>
              <w:snapToGrid w:val="0"/>
              <w:spacing w:line="340" w:lineRule="exact"/>
              <w:ind w:firstLine="210" w:firstLineChars="100"/>
              <w:jc w:val="center"/>
              <w:rPr>
                <w:rFonts w:hint="default" w:ascii="楷体" w:hAnsi="楷体" w:eastAsia="楷体" w:cs="楷体"/>
                <w:sz w:val="24"/>
                <w:lang w:val="en-US" w:eastAsia="zh-CN"/>
              </w:rPr>
            </w:pPr>
            <w:r>
              <w:rPr>
                <w:rFonts w:hint="eastAsia" w:ascii="宋体" w:hAnsi="宋体"/>
                <w:lang w:val="en-US" w:eastAsia="zh-CN"/>
              </w:rPr>
              <w:t>传达区教研室会议精神，完善教研组计划。</w:t>
            </w:r>
          </w:p>
        </w:tc>
      </w:tr>
      <w:tr w14:paraId="2819BB6E">
        <w:tblPrEx>
          <w:tblCellMar>
            <w:top w:w="0" w:type="dxa"/>
            <w:left w:w="0" w:type="dxa"/>
            <w:bottom w:w="0" w:type="dxa"/>
            <w:right w:w="0" w:type="dxa"/>
          </w:tblCellMar>
        </w:tblPrEx>
        <w:trPr>
          <w:cantSplit/>
          <w:trHeight w:val="624" w:hRule="atLeast"/>
          <w:jc w:val="center"/>
        </w:trPr>
        <w:tc>
          <w:tcPr>
            <w:tcW w:w="234" w:type="pct"/>
            <w:vMerge w:val="continue"/>
            <w:tcBorders>
              <w:top w:val="single" w:color="auto" w:sz="4" w:space="0"/>
              <w:left w:val="single" w:color="auto" w:sz="12" w:space="0"/>
              <w:bottom w:val="single" w:color="auto" w:sz="4" w:space="0"/>
              <w:right w:val="single" w:color="auto" w:sz="4" w:space="0"/>
            </w:tcBorders>
            <w:vAlign w:val="center"/>
          </w:tcPr>
          <w:p w14:paraId="1851850B">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5D3109A0">
            <w:pPr>
              <w:spacing w:line="360" w:lineRule="auto"/>
              <w:jc w:val="center"/>
              <w:rPr>
                <w:rFonts w:ascii="黑体" w:hAnsi="黑体" w:eastAsia="黑体"/>
                <w:b/>
                <w:bCs/>
                <w:color w:val="7030A0"/>
              </w:rPr>
            </w:pPr>
            <w:r>
              <w:rPr>
                <w:rFonts w:hint="eastAsia" w:ascii="黑体" w:hAnsi="黑体" w:eastAsia="黑体"/>
                <w:b/>
                <w:bCs/>
                <w:color w:val="7030A0"/>
              </w:rPr>
              <w:t>三</w:t>
            </w:r>
          </w:p>
        </w:tc>
        <w:tc>
          <w:tcPr>
            <w:tcW w:w="270" w:type="pct"/>
            <w:tcBorders>
              <w:top w:val="single" w:color="auto" w:sz="4" w:space="0"/>
              <w:left w:val="nil"/>
              <w:bottom w:val="single" w:color="auto" w:sz="4" w:space="0"/>
              <w:right w:val="single" w:color="auto" w:sz="4" w:space="0"/>
            </w:tcBorders>
            <w:vAlign w:val="center"/>
          </w:tcPr>
          <w:p w14:paraId="0E97BECB">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1F0EDCEF">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4FC353E0">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1</w:t>
            </w:r>
            <w:r>
              <w:rPr>
                <w:rFonts w:hint="eastAsia" w:ascii="黑体" w:hAnsi="黑体" w:eastAsia="黑体"/>
                <w:b/>
                <w:bCs/>
                <w:color w:val="FF0000"/>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700DCD7C">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1</w:t>
            </w:r>
            <w:r>
              <w:rPr>
                <w:rFonts w:hint="eastAsia" w:ascii="黑体" w:hAnsi="黑体" w:eastAsia="黑体"/>
                <w:b/>
                <w:bCs/>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3CB0B029">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20</w:t>
            </w:r>
          </w:p>
        </w:tc>
        <w:tc>
          <w:tcPr>
            <w:tcW w:w="270" w:type="pct"/>
            <w:tcBorders>
              <w:top w:val="single" w:color="auto" w:sz="4" w:space="0"/>
              <w:left w:val="nil"/>
              <w:bottom w:val="single" w:color="auto" w:sz="4" w:space="0"/>
              <w:right w:val="single" w:color="auto" w:sz="4" w:space="0"/>
            </w:tcBorders>
            <w:vAlign w:val="center"/>
          </w:tcPr>
          <w:p w14:paraId="27916415">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21</w:t>
            </w:r>
          </w:p>
        </w:tc>
        <w:tc>
          <w:tcPr>
            <w:tcW w:w="271" w:type="pct"/>
            <w:tcBorders>
              <w:top w:val="single" w:color="auto" w:sz="4" w:space="0"/>
              <w:left w:val="nil"/>
              <w:bottom w:val="single" w:color="auto" w:sz="4" w:space="0"/>
              <w:right w:val="single" w:color="auto" w:sz="4" w:space="0"/>
            </w:tcBorders>
            <w:vAlign w:val="center"/>
          </w:tcPr>
          <w:p w14:paraId="64BDC336">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2</w:t>
            </w:r>
          </w:p>
        </w:tc>
        <w:tc>
          <w:tcPr>
            <w:tcW w:w="2504" w:type="pct"/>
            <w:tcBorders>
              <w:top w:val="single" w:color="auto" w:sz="4" w:space="0"/>
              <w:left w:val="nil"/>
              <w:bottom w:val="single" w:color="auto" w:sz="4" w:space="0"/>
              <w:right w:val="single" w:color="auto" w:sz="12" w:space="0"/>
            </w:tcBorders>
            <w:vAlign w:val="center"/>
          </w:tcPr>
          <w:p w14:paraId="7827BD9C">
            <w:pPr>
              <w:snapToGrid w:val="0"/>
              <w:spacing w:line="340" w:lineRule="exact"/>
              <w:ind w:firstLine="210" w:firstLineChars="100"/>
              <w:jc w:val="center"/>
              <w:rPr>
                <w:rFonts w:hint="eastAsia" w:ascii="宋体" w:hAnsi="宋体"/>
                <w:lang w:val="en-US" w:eastAsia="zh-CN"/>
              </w:rPr>
            </w:pPr>
            <w:r>
              <w:rPr>
                <w:rFonts w:hint="eastAsia" w:ascii="宋体" w:hAnsi="宋体"/>
                <w:lang w:val="en-US" w:eastAsia="zh-CN"/>
              </w:rPr>
              <w:t>学科关键能力（口算）自主监测、集体备课</w:t>
            </w:r>
          </w:p>
        </w:tc>
      </w:tr>
      <w:tr w14:paraId="6C1BF819">
        <w:tblPrEx>
          <w:tblCellMar>
            <w:top w:w="0" w:type="dxa"/>
            <w:left w:w="0" w:type="dxa"/>
            <w:bottom w:w="0" w:type="dxa"/>
            <w:right w:w="0" w:type="dxa"/>
          </w:tblCellMar>
        </w:tblPrEx>
        <w:trPr>
          <w:cantSplit/>
          <w:trHeight w:val="624" w:hRule="atLeast"/>
          <w:jc w:val="center"/>
        </w:trPr>
        <w:tc>
          <w:tcPr>
            <w:tcW w:w="234" w:type="pct"/>
            <w:vMerge w:val="continue"/>
            <w:tcBorders>
              <w:top w:val="single" w:color="auto" w:sz="4" w:space="0"/>
              <w:left w:val="single" w:color="auto" w:sz="12" w:space="0"/>
              <w:bottom w:val="single" w:color="auto" w:sz="4" w:space="0"/>
              <w:right w:val="single" w:color="auto" w:sz="4" w:space="0"/>
            </w:tcBorders>
            <w:vAlign w:val="center"/>
          </w:tcPr>
          <w:p w14:paraId="0F2D2234">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177A5A6C">
            <w:pPr>
              <w:spacing w:line="360" w:lineRule="auto"/>
              <w:jc w:val="center"/>
              <w:rPr>
                <w:rFonts w:ascii="黑体" w:hAnsi="黑体" w:eastAsia="黑体"/>
                <w:b/>
                <w:bCs/>
                <w:color w:val="7030A0"/>
              </w:rPr>
            </w:pPr>
            <w:r>
              <w:rPr>
                <w:rFonts w:hint="eastAsia" w:ascii="黑体" w:hAnsi="黑体" w:eastAsia="黑体"/>
                <w:b/>
                <w:bCs/>
                <w:color w:val="7030A0"/>
              </w:rPr>
              <w:t>四</w:t>
            </w:r>
          </w:p>
        </w:tc>
        <w:tc>
          <w:tcPr>
            <w:tcW w:w="270" w:type="pct"/>
            <w:tcBorders>
              <w:top w:val="single" w:color="auto" w:sz="4" w:space="0"/>
              <w:left w:val="nil"/>
              <w:bottom w:val="single" w:color="auto" w:sz="4" w:space="0"/>
              <w:right w:val="single" w:color="auto" w:sz="4" w:space="0"/>
            </w:tcBorders>
            <w:vAlign w:val="center"/>
          </w:tcPr>
          <w:p w14:paraId="64BC5953">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2</w:t>
            </w:r>
            <w:r>
              <w:rPr>
                <w:rFonts w:hint="eastAsia" w:ascii="黑体" w:hAnsi="黑体" w:eastAsia="黑体"/>
                <w:b/>
                <w:bCs/>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5FADEE4F">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2</w:t>
            </w:r>
            <w:r>
              <w:rPr>
                <w:rFonts w:hint="eastAsia" w:ascii="黑体" w:hAnsi="黑体" w:eastAsia="黑体"/>
                <w:b/>
                <w:bCs/>
                <w:color w:val="000000"/>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51EEEE29">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2</w:t>
            </w:r>
            <w:r>
              <w:rPr>
                <w:rFonts w:hint="eastAsia" w:ascii="黑体" w:hAnsi="黑体" w:eastAsia="黑体"/>
                <w:b/>
                <w:bCs/>
                <w:color w:val="FF0000"/>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7A321FC9">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2</w:t>
            </w: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390EEF90">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2</w:t>
            </w: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140DF7E8">
            <w:pPr>
              <w:snapToGrid w:val="0"/>
              <w:spacing w:line="400" w:lineRule="exact"/>
              <w:jc w:val="center"/>
              <w:rPr>
                <w:rFonts w:hint="eastAsia" w:ascii="黑体" w:hAnsi="黑体" w:eastAsia="黑体"/>
                <w:b/>
                <w:bCs/>
                <w:sz w:val="24"/>
                <w:lang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8</w:t>
            </w:r>
          </w:p>
        </w:tc>
        <w:tc>
          <w:tcPr>
            <w:tcW w:w="271" w:type="pct"/>
            <w:tcBorders>
              <w:top w:val="single" w:color="auto" w:sz="4" w:space="0"/>
              <w:left w:val="nil"/>
              <w:bottom w:val="single" w:color="auto" w:sz="4" w:space="0"/>
              <w:right w:val="single" w:color="auto" w:sz="4" w:space="0"/>
            </w:tcBorders>
            <w:vAlign w:val="center"/>
          </w:tcPr>
          <w:p w14:paraId="57B61C1A">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29</w:t>
            </w:r>
          </w:p>
        </w:tc>
        <w:tc>
          <w:tcPr>
            <w:tcW w:w="2504" w:type="pct"/>
            <w:tcBorders>
              <w:top w:val="single" w:color="auto" w:sz="4" w:space="0"/>
              <w:left w:val="nil"/>
              <w:bottom w:val="single" w:color="auto" w:sz="4" w:space="0"/>
              <w:right w:val="single" w:color="auto" w:sz="12" w:space="0"/>
            </w:tcBorders>
            <w:vAlign w:val="center"/>
          </w:tcPr>
          <w:p w14:paraId="4A92196B">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《＝和＞、＜》朱竹君</w:t>
            </w:r>
          </w:p>
        </w:tc>
      </w:tr>
      <w:tr w14:paraId="04536F52">
        <w:tblPrEx>
          <w:tblCellMar>
            <w:top w:w="0" w:type="dxa"/>
            <w:left w:w="0" w:type="dxa"/>
            <w:bottom w:w="0" w:type="dxa"/>
            <w:right w:w="0" w:type="dxa"/>
          </w:tblCellMar>
        </w:tblPrEx>
        <w:trPr>
          <w:cantSplit/>
          <w:trHeight w:val="624" w:hRule="atLeast"/>
          <w:jc w:val="center"/>
        </w:trPr>
        <w:tc>
          <w:tcPr>
            <w:tcW w:w="234" w:type="pct"/>
            <w:vMerge w:val="restart"/>
            <w:tcBorders>
              <w:top w:val="nil"/>
              <w:left w:val="single" w:color="auto" w:sz="12" w:space="0"/>
              <w:bottom w:val="single" w:color="auto" w:sz="4" w:space="0"/>
              <w:right w:val="single" w:color="auto" w:sz="4" w:space="0"/>
            </w:tcBorders>
            <w:vAlign w:val="center"/>
          </w:tcPr>
          <w:p w14:paraId="74E2FBDE">
            <w:pPr>
              <w:spacing w:line="360" w:lineRule="auto"/>
              <w:jc w:val="center"/>
              <w:rPr>
                <w:rFonts w:ascii="仿宋" w:hAnsi="仿宋" w:eastAsia="仿宋"/>
                <w:b/>
                <w:bCs/>
              </w:rPr>
            </w:pPr>
            <w:r>
              <w:rPr>
                <w:rFonts w:hint="eastAsia" w:ascii="仿宋" w:hAnsi="仿宋" w:eastAsia="仿宋"/>
                <w:b/>
                <w:bCs/>
              </w:rPr>
              <w:t>十月</w:t>
            </w:r>
          </w:p>
        </w:tc>
        <w:tc>
          <w:tcPr>
            <w:tcW w:w="367" w:type="pct"/>
            <w:tcBorders>
              <w:top w:val="single" w:color="auto" w:sz="4" w:space="0"/>
              <w:left w:val="nil"/>
              <w:bottom w:val="single" w:color="auto" w:sz="4" w:space="0"/>
              <w:right w:val="single" w:color="auto" w:sz="4" w:space="0"/>
            </w:tcBorders>
            <w:vAlign w:val="center"/>
          </w:tcPr>
          <w:p w14:paraId="7C14513E">
            <w:pPr>
              <w:spacing w:line="360" w:lineRule="auto"/>
              <w:jc w:val="center"/>
              <w:rPr>
                <w:rFonts w:ascii="黑体" w:hAnsi="黑体" w:eastAsia="黑体"/>
                <w:b/>
                <w:bCs/>
                <w:color w:val="7030A0"/>
              </w:rPr>
            </w:pPr>
            <w:r>
              <w:rPr>
                <w:rFonts w:hint="eastAsia" w:ascii="黑体" w:hAnsi="黑体" w:eastAsia="黑体"/>
                <w:b/>
                <w:bCs/>
                <w:color w:val="7030A0"/>
              </w:rPr>
              <w:t>五</w:t>
            </w:r>
          </w:p>
        </w:tc>
        <w:tc>
          <w:tcPr>
            <w:tcW w:w="270" w:type="pct"/>
            <w:tcBorders>
              <w:top w:val="single" w:color="auto" w:sz="4" w:space="0"/>
              <w:left w:val="nil"/>
              <w:bottom w:val="single" w:color="auto" w:sz="4" w:space="0"/>
              <w:right w:val="single" w:color="auto" w:sz="4" w:space="0"/>
            </w:tcBorders>
            <w:vAlign w:val="center"/>
          </w:tcPr>
          <w:p w14:paraId="6CA2045E">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sz w:val="24"/>
                <w:lang w:val="en-US" w:eastAsia="zh-CN"/>
              </w:rPr>
              <w:t>30</w:t>
            </w:r>
          </w:p>
        </w:tc>
        <w:tc>
          <w:tcPr>
            <w:tcW w:w="270" w:type="pct"/>
            <w:tcBorders>
              <w:top w:val="single" w:color="auto" w:sz="4" w:space="0"/>
              <w:left w:val="nil"/>
              <w:bottom w:val="single" w:color="auto" w:sz="4" w:space="0"/>
              <w:right w:val="single" w:color="auto" w:sz="4" w:space="0"/>
            </w:tcBorders>
            <w:vAlign w:val="center"/>
          </w:tcPr>
          <w:p w14:paraId="360B0D5A">
            <w:pPr>
              <w:snapToGrid w:val="0"/>
              <w:spacing w:line="400" w:lineRule="exact"/>
              <w:jc w:val="center"/>
              <w:rPr>
                <w:rFonts w:hint="default" w:ascii="黑体" w:hAnsi="黑体" w:eastAsia="黑体"/>
                <w:b/>
                <w:bCs/>
                <w:color w:val="000000"/>
                <w:sz w:val="24"/>
                <w:lang w:val="en-US" w:eastAsia="zh-CN"/>
              </w:rPr>
            </w:pPr>
            <w:r>
              <w:rPr>
                <w:rFonts w:hint="eastAsia" w:ascii="黑体" w:hAnsi="黑体" w:eastAsia="黑体"/>
                <w:b/>
                <w:bCs/>
                <w:color w:val="00B050"/>
                <w:sz w:val="24"/>
              </w:rPr>
              <w:t>1</w:t>
            </w:r>
            <w:r>
              <w:rPr>
                <w:rFonts w:ascii="黑体" w:hAnsi="黑体" w:eastAsia="黑体"/>
                <w:b/>
                <w:bCs/>
                <w:color w:val="00B050"/>
                <w:sz w:val="24"/>
              </w:rPr>
              <w:t>0/1</w:t>
            </w:r>
          </w:p>
        </w:tc>
        <w:tc>
          <w:tcPr>
            <w:tcW w:w="270" w:type="pct"/>
            <w:tcBorders>
              <w:top w:val="single" w:color="auto" w:sz="4" w:space="0"/>
              <w:left w:val="nil"/>
              <w:bottom w:val="single" w:color="auto" w:sz="4" w:space="0"/>
              <w:right w:val="single" w:color="auto" w:sz="4" w:space="0"/>
            </w:tcBorders>
            <w:vAlign w:val="center"/>
          </w:tcPr>
          <w:p w14:paraId="061271F1">
            <w:pPr>
              <w:snapToGrid w:val="0"/>
              <w:spacing w:line="400" w:lineRule="exact"/>
              <w:jc w:val="center"/>
              <w:rPr>
                <w:rFonts w:ascii="黑体" w:hAnsi="黑体" w:eastAsia="黑体"/>
                <w:b/>
                <w:bCs/>
                <w:color w:val="FF0000"/>
                <w:sz w:val="24"/>
              </w:rPr>
            </w:pPr>
            <w:r>
              <w:rPr>
                <w:rFonts w:ascii="黑体" w:hAnsi="黑体" w:eastAsia="黑体"/>
                <w:b/>
                <w:bCs/>
                <w:color w:val="00B050"/>
                <w:sz w:val="24"/>
              </w:rPr>
              <w:t>2</w:t>
            </w:r>
          </w:p>
        </w:tc>
        <w:tc>
          <w:tcPr>
            <w:tcW w:w="270" w:type="pct"/>
            <w:tcBorders>
              <w:top w:val="single" w:color="auto" w:sz="4" w:space="0"/>
              <w:left w:val="nil"/>
              <w:bottom w:val="single" w:color="auto" w:sz="4" w:space="0"/>
              <w:right w:val="single" w:color="auto" w:sz="4" w:space="0"/>
            </w:tcBorders>
            <w:vAlign w:val="center"/>
          </w:tcPr>
          <w:p w14:paraId="75F5F644">
            <w:pPr>
              <w:snapToGrid w:val="0"/>
              <w:spacing w:line="400" w:lineRule="exact"/>
              <w:jc w:val="center"/>
              <w:rPr>
                <w:rFonts w:ascii="黑体" w:hAnsi="黑体" w:eastAsia="黑体"/>
                <w:b/>
                <w:bCs/>
                <w:color w:val="00B050"/>
                <w:sz w:val="24"/>
              </w:rPr>
            </w:pPr>
            <w:r>
              <w:rPr>
                <w:rFonts w:ascii="黑体" w:hAnsi="黑体" w:eastAsia="黑体"/>
                <w:b/>
                <w:bCs/>
                <w:color w:val="00B050"/>
                <w:sz w:val="24"/>
              </w:rPr>
              <w:t>3</w:t>
            </w:r>
          </w:p>
        </w:tc>
        <w:tc>
          <w:tcPr>
            <w:tcW w:w="270" w:type="pct"/>
            <w:tcBorders>
              <w:top w:val="single" w:color="auto" w:sz="4" w:space="0"/>
              <w:left w:val="nil"/>
              <w:bottom w:val="single" w:color="auto" w:sz="4" w:space="0"/>
              <w:right w:val="single" w:color="auto" w:sz="4" w:space="0"/>
            </w:tcBorders>
            <w:vAlign w:val="center"/>
          </w:tcPr>
          <w:p w14:paraId="03CFFC66">
            <w:pPr>
              <w:snapToGrid w:val="0"/>
              <w:spacing w:line="400" w:lineRule="exact"/>
              <w:jc w:val="center"/>
              <w:rPr>
                <w:rFonts w:ascii="黑体" w:hAnsi="黑体" w:eastAsia="黑体"/>
                <w:b/>
                <w:bCs/>
                <w:color w:val="00B050"/>
                <w:sz w:val="24"/>
              </w:rPr>
            </w:pPr>
            <w:r>
              <w:rPr>
                <w:rFonts w:ascii="黑体" w:hAnsi="黑体" w:eastAsia="黑体"/>
                <w:b/>
                <w:bCs/>
                <w:color w:val="00B050"/>
                <w:sz w:val="24"/>
              </w:rPr>
              <w:t>4</w:t>
            </w:r>
          </w:p>
        </w:tc>
        <w:tc>
          <w:tcPr>
            <w:tcW w:w="270" w:type="pct"/>
            <w:tcBorders>
              <w:top w:val="single" w:color="auto" w:sz="4" w:space="0"/>
              <w:left w:val="nil"/>
              <w:bottom w:val="single" w:color="auto" w:sz="4" w:space="0"/>
              <w:right w:val="single" w:color="auto" w:sz="4" w:space="0"/>
            </w:tcBorders>
            <w:vAlign w:val="center"/>
          </w:tcPr>
          <w:p w14:paraId="6686E276">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5</w:t>
            </w:r>
          </w:p>
        </w:tc>
        <w:tc>
          <w:tcPr>
            <w:tcW w:w="271" w:type="pct"/>
            <w:tcBorders>
              <w:top w:val="single" w:color="auto" w:sz="4" w:space="0"/>
              <w:left w:val="nil"/>
              <w:bottom w:val="single" w:color="auto" w:sz="4" w:space="0"/>
              <w:right w:val="single" w:color="auto" w:sz="4" w:space="0"/>
            </w:tcBorders>
            <w:vAlign w:val="center"/>
          </w:tcPr>
          <w:p w14:paraId="6E9E7341">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lang w:val="en-US" w:eastAsia="zh-CN"/>
              </w:rPr>
              <w:t>6</w:t>
            </w:r>
          </w:p>
        </w:tc>
        <w:tc>
          <w:tcPr>
            <w:tcW w:w="2504" w:type="pct"/>
            <w:tcBorders>
              <w:top w:val="single" w:color="auto" w:sz="4" w:space="0"/>
              <w:left w:val="nil"/>
              <w:bottom w:val="single" w:color="auto" w:sz="4" w:space="0"/>
              <w:right w:val="single" w:color="auto" w:sz="12" w:space="0"/>
            </w:tcBorders>
            <w:vAlign w:val="center"/>
          </w:tcPr>
          <w:p w14:paraId="6B11872D">
            <w:pPr>
              <w:snapToGrid w:val="0"/>
              <w:spacing w:line="340" w:lineRule="exact"/>
              <w:ind w:firstLine="210" w:firstLineChars="100"/>
              <w:jc w:val="center"/>
              <w:rPr>
                <w:rFonts w:hint="eastAsia" w:ascii="宋体" w:hAnsi="宋体"/>
                <w:lang w:val="en-US" w:eastAsia="zh-CN"/>
              </w:rPr>
            </w:pPr>
            <w:r>
              <w:rPr>
                <w:rFonts w:hint="eastAsia" w:ascii="宋体" w:hAnsi="宋体"/>
                <w:lang w:val="en-US" w:eastAsia="zh-CN"/>
              </w:rPr>
              <w:t>国庆节</w:t>
            </w:r>
          </w:p>
        </w:tc>
      </w:tr>
      <w:tr w14:paraId="42736812">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52761A4E">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16D523D3">
            <w:pPr>
              <w:spacing w:line="360" w:lineRule="auto"/>
              <w:jc w:val="center"/>
              <w:rPr>
                <w:rFonts w:ascii="黑体" w:hAnsi="黑体" w:eastAsia="黑体"/>
                <w:b/>
                <w:bCs/>
                <w:color w:val="7030A0"/>
              </w:rPr>
            </w:pPr>
            <w:r>
              <w:rPr>
                <w:rFonts w:hint="eastAsia" w:ascii="黑体" w:hAnsi="黑体" w:eastAsia="黑体"/>
                <w:b/>
                <w:bCs/>
                <w:color w:val="7030A0"/>
              </w:rPr>
              <w:t>六</w:t>
            </w:r>
          </w:p>
        </w:tc>
        <w:tc>
          <w:tcPr>
            <w:tcW w:w="270" w:type="pct"/>
            <w:tcBorders>
              <w:top w:val="single" w:color="auto" w:sz="4" w:space="0"/>
              <w:left w:val="nil"/>
              <w:bottom w:val="single" w:color="auto" w:sz="4" w:space="0"/>
              <w:right w:val="single" w:color="auto" w:sz="4" w:space="0"/>
            </w:tcBorders>
            <w:vAlign w:val="center"/>
          </w:tcPr>
          <w:p w14:paraId="7A68AE86">
            <w:pPr>
              <w:snapToGrid w:val="0"/>
              <w:spacing w:line="400" w:lineRule="exact"/>
              <w:jc w:val="center"/>
              <w:rPr>
                <w:rFonts w:hint="eastAsia" w:ascii="黑体" w:hAnsi="黑体" w:eastAsia="黑体"/>
                <w:b/>
                <w:bCs/>
                <w:sz w:val="24"/>
                <w:lang w:eastAsia="zh-CN"/>
              </w:rPr>
            </w:pPr>
            <w:r>
              <w:rPr>
                <w:rFonts w:hint="eastAsia" w:ascii="黑体" w:hAnsi="黑体" w:eastAsia="黑体"/>
                <w:b/>
                <w:bCs/>
                <w:color w:val="00B050"/>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41679788">
            <w:pPr>
              <w:snapToGrid w:val="0"/>
              <w:spacing w:line="400" w:lineRule="exact"/>
              <w:jc w:val="center"/>
              <w:rPr>
                <w:rFonts w:hint="eastAsia" w:ascii="黑体" w:hAnsi="黑体" w:eastAsia="黑体"/>
                <w:b/>
                <w:bCs/>
                <w:color w:val="000000" w:themeColor="text1"/>
                <w:sz w:val="24"/>
                <w:lang w:val="en-US" w:eastAsia="zh-CN"/>
                <w14:textFill>
                  <w14:solidFill>
                    <w14:schemeClr w14:val="tx1"/>
                  </w14:solidFill>
                </w14:textFill>
              </w:rPr>
            </w:pPr>
            <w:r>
              <w:rPr>
                <w:rFonts w:hint="eastAsia" w:ascii="黑体" w:hAnsi="黑体" w:eastAsia="黑体"/>
                <w:b/>
                <w:bCs/>
                <w:color w:val="000000" w:themeColor="text1"/>
                <w:sz w:val="24"/>
                <w:lang w:val="en-US" w:eastAsia="zh-CN"/>
                <w14:textFill>
                  <w14:solidFill>
                    <w14:schemeClr w14:val="tx1"/>
                  </w14:solidFill>
                </w14:textFill>
              </w:rPr>
              <w:t>8</w:t>
            </w:r>
          </w:p>
        </w:tc>
        <w:tc>
          <w:tcPr>
            <w:tcW w:w="270" w:type="pct"/>
            <w:tcBorders>
              <w:top w:val="single" w:color="auto" w:sz="4" w:space="0"/>
              <w:left w:val="nil"/>
              <w:bottom w:val="single" w:color="auto" w:sz="4" w:space="0"/>
              <w:right w:val="single" w:color="auto" w:sz="4" w:space="0"/>
            </w:tcBorders>
            <w:vAlign w:val="center"/>
          </w:tcPr>
          <w:p w14:paraId="11637596">
            <w:pPr>
              <w:snapToGrid w:val="0"/>
              <w:spacing w:line="400" w:lineRule="exact"/>
              <w:jc w:val="center"/>
              <w:rPr>
                <w:rFonts w:hint="eastAsia" w:ascii="黑体" w:hAnsi="黑体" w:eastAsia="黑体"/>
                <w:b/>
                <w:bCs/>
                <w:color w:val="000000" w:themeColor="text1"/>
                <w:sz w:val="24"/>
                <w:lang w:val="en-US" w:eastAsia="zh-CN"/>
                <w14:textFill>
                  <w14:solidFill>
                    <w14:schemeClr w14:val="tx1"/>
                  </w14:solidFill>
                </w14:textFill>
              </w:rPr>
            </w:pPr>
            <w:r>
              <w:rPr>
                <w:rFonts w:hint="eastAsia" w:ascii="黑体" w:hAnsi="黑体" w:eastAsia="黑体"/>
                <w:b/>
                <w:bCs/>
                <w:color w:val="FF0000"/>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4C258EF6">
            <w:pPr>
              <w:snapToGrid w:val="0"/>
              <w:spacing w:line="400" w:lineRule="exact"/>
              <w:jc w:val="center"/>
              <w:rPr>
                <w:rFonts w:hint="default" w:ascii="黑体" w:hAnsi="黑体" w:eastAsia="黑体"/>
                <w:b/>
                <w:bCs/>
                <w:color w:val="000000" w:themeColor="text1"/>
                <w:sz w:val="24"/>
                <w:lang w:val="en-US" w:eastAsia="zh-CN"/>
                <w14:textFill>
                  <w14:solidFill>
                    <w14:schemeClr w14:val="tx1"/>
                  </w14:solidFill>
                </w14:textFill>
              </w:rPr>
            </w:pPr>
            <w:r>
              <w:rPr>
                <w:rFonts w:hint="eastAsia" w:ascii="黑体" w:hAnsi="黑体" w:eastAsia="黑体"/>
                <w:b/>
                <w:bCs/>
                <w:color w:val="000000" w:themeColor="text1"/>
                <w:sz w:val="24"/>
                <w:lang w:val="en-US" w:eastAsia="zh-CN"/>
                <w14:textFill>
                  <w14:solidFill>
                    <w14:schemeClr w14:val="tx1"/>
                  </w14:solidFill>
                </w14:textFill>
              </w:rPr>
              <w:t>10</w:t>
            </w:r>
          </w:p>
        </w:tc>
        <w:tc>
          <w:tcPr>
            <w:tcW w:w="270" w:type="pct"/>
            <w:tcBorders>
              <w:top w:val="single" w:color="auto" w:sz="4" w:space="0"/>
              <w:left w:val="nil"/>
              <w:bottom w:val="single" w:color="auto" w:sz="4" w:space="0"/>
              <w:right w:val="single" w:color="auto" w:sz="4" w:space="0"/>
            </w:tcBorders>
            <w:vAlign w:val="center"/>
          </w:tcPr>
          <w:p w14:paraId="051FFF5D">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11</w:t>
            </w:r>
          </w:p>
        </w:tc>
        <w:tc>
          <w:tcPr>
            <w:tcW w:w="270" w:type="pct"/>
            <w:tcBorders>
              <w:top w:val="single" w:color="auto" w:sz="4" w:space="0"/>
              <w:left w:val="nil"/>
              <w:bottom w:val="single" w:color="auto" w:sz="4" w:space="0"/>
              <w:right w:val="single" w:color="auto" w:sz="4" w:space="0"/>
            </w:tcBorders>
            <w:vAlign w:val="center"/>
          </w:tcPr>
          <w:p w14:paraId="64872C1E">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sz w:val="24"/>
              </w:rPr>
              <w:t>1</w:t>
            </w:r>
            <w:r>
              <w:rPr>
                <w:rFonts w:hint="eastAsia" w:ascii="黑体" w:hAnsi="黑体" w:eastAsia="黑体"/>
                <w:b/>
                <w:bCs/>
                <w:sz w:val="24"/>
                <w:lang w:val="en-US" w:eastAsia="zh-CN"/>
              </w:rPr>
              <w:t>2</w:t>
            </w:r>
          </w:p>
        </w:tc>
        <w:tc>
          <w:tcPr>
            <w:tcW w:w="271" w:type="pct"/>
            <w:tcBorders>
              <w:top w:val="single" w:color="auto" w:sz="4" w:space="0"/>
              <w:left w:val="nil"/>
              <w:bottom w:val="single" w:color="auto" w:sz="4" w:space="0"/>
              <w:right w:val="single" w:color="auto" w:sz="4" w:space="0"/>
            </w:tcBorders>
            <w:vAlign w:val="center"/>
          </w:tcPr>
          <w:p w14:paraId="357B0641">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3</w:t>
            </w:r>
          </w:p>
        </w:tc>
        <w:tc>
          <w:tcPr>
            <w:tcW w:w="2504" w:type="pct"/>
            <w:tcBorders>
              <w:top w:val="single" w:color="auto" w:sz="4" w:space="0"/>
              <w:left w:val="nil"/>
              <w:bottom w:val="single" w:color="auto" w:sz="4" w:space="0"/>
              <w:right w:val="single" w:color="auto" w:sz="12" w:space="0"/>
            </w:tcBorders>
            <w:vAlign w:val="center"/>
          </w:tcPr>
          <w:p w14:paraId="4DC92951">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《长、正方形的认识》王人燕</w:t>
            </w:r>
          </w:p>
        </w:tc>
      </w:tr>
      <w:tr w14:paraId="3BDA6327">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3F228623">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583FD636">
            <w:pPr>
              <w:spacing w:line="360" w:lineRule="auto"/>
              <w:jc w:val="center"/>
              <w:rPr>
                <w:rFonts w:ascii="黑体" w:hAnsi="黑体" w:eastAsia="黑体"/>
                <w:b/>
                <w:bCs/>
                <w:color w:val="7030A0"/>
              </w:rPr>
            </w:pPr>
            <w:r>
              <w:rPr>
                <w:rFonts w:hint="eastAsia" w:ascii="黑体" w:hAnsi="黑体" w:eastAsia="黑体"/>
                <w:b/>
                <w:bCs/>
                <w:color w:val="7030A0"/>
              </w:rPr>
              <w:t>七</w:t>
            </w:r>
          </w:p>
        </w:tc>
        <w:tc>
          <w:tcPr>
            <w:tcW w:w="270" w:type="pct"/>
            <w:tcBorders>
              <w:top w:val="single" w:color="auto" w:sz="4" w:space="0"/>
              <w:left w:val="nil"/>
              <w:bottom w:val="single" w:color="auto" w:sz="4" w:space="0"/>
              <w:right w:val="single" w:color="auto" w:sz="4" w:space="0"/>
            </w:tcBorders>
            <w:vAlign w:val="center"/>
          </w:tcPr>
          <w:p w14:paraId="4D773B65">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5F935D17">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0C937E06">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1</w:t>
            </w:r>
            <w:r>
              <w:rPr>
                <w:rFonts w:hint="eastAsia" w:ascii="黑体" w:hAnsi="黑体" w:eastAsia="黑体"/>
                <w:b/>
                <w:bCs/>
                <w:color w:val="FF0000"/>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3DB5BC85">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1070684B">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3417D3B1">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9</w:t>
            </w:r>
          </w:p>
        </w:tc>
        <w:tc>
          <w:tcPr>
            <w:tcW w:w="271" w:type="pct"/>
            <w:tcBorders>
              <w:top w:val="single" w:color="auto" w:sz="4" w:space="0"/>
              <w:left w:val="nil"/>
              <w:bottom w:val="single" w:color="auto" w:sz="4" w:space="0"/>
              <w:right w:val="single" w:color="auto" w:sz="4" w:space="0"/>
            </w:tcBorders>
            <w:vAlign w:val="center"/>
          </w:tcPr>
          <w:p w14:paraId="70295D8E">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20</w:t>
            </w:r>
          </w:p>
        </w:tc>
        <w:tc>
          <w:tcPr>
            <w:tcW w:w="2504" w:type="pct"/>
            <w:tcBorders>
              <w:top w:val="single" w:color="auto" w:sz="4" w:space="0"/>
              <w:left w:val="nil"/>
              <w:bottom w:val="single" w:color="auto" w:sz="4" w:space="0"/>
              <w:right w:val="single" w:color="auto" w:sz="12" w:space="0"/>
            </w:tcBorders>
            <w:vAlign w:val="center"/>
          </w:tcPr>
          <w:p w14:paraId="10B49992">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青年教师优质课模拟上课训练</w:t>
            </w:r>
          </w:p>
        </w:tc>
      </w:tr>
      <w:tr w14:paraId="67FA902F">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41B1A3BC">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40E2B6D8">
            <w:pPr>
              <w:spacing w:line="360" w:lineRule="auto"/>
              <w:jc w:val="center"/>
              <w:rPr>
                <w:rFonts w:ascii="黑体" w:hAnsi="黑体" w:eastAsia="黑体"/>
                <w:b/>
                <w:bCs/>
                <w:color w:val="7030A0"/>
              </w:rPr>
            </w:pPr>
            <w:r>
              <w:rPr>
                <w:rFonts w:hint="eastAsia" w:ascii="黑体" w:hAnsi="黑体" w:eastAsia="黑体"/>
                <w:b/>
                <w:bCs/>
                <w:color w:val="7030A0"/>
              </w:rPr>
              <w:t>八</w:t>
            </w:r>
          </w:p>
        </w:tc>
        <w:tc>
          <w:tcPr>
            <w:tcW w:w="270" w:type="pct"/>
            <w:tcBorders>
              <w:top w:val="single" w:color="auto" w:sz="4" w:space="0"/>
              <w:left w:val="nil"/>
              <w:bottom w:val="single" w:color="auto" w:sz="4" w:space="0"/>
              <w:right w:val="single" w:color="auto" w:sz="4" w:space="0"/>
            </w:tcBorders>
            <w:vAlign w:val="center"/>
          </w:tcPr>
          <w:p w14:paraId="40EAD8E8">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21</w:t>
            </w:r>
          </w:p>
        </w:tc>
        <w:tc>
          <w:tcPr>
            <w:tcW w:w="270" w:type="pct"/>
            <w:tcBorders>
              <w:top w:val="single" w:color="auto" w:sz="4" w:space="0"/>
              <w:left w:val="nil"/>
              <w:bottom w:val="single" w:color="auto" w:sz="4" w:space="0"/>
              <w:right w:val="single" w:color="auto" w:sz="4" w:space="0"/>
            </w:tcBorders>
            <w:vAlign w:val="center"/>
          </w:tcPr>
          <w:p w14:paraId="56271C0A">
            <w:pPr>
              <w:snapToGrid w:val="0"/>
              <w:spacing w:line="400" w:lineRule="exact"/>
              <w:jc w:val="center"/>
              <w:rPr>
                <w:rFonts w:hint="eastAsia" w:ascii="黑体" w:hAnsi="黑体" w:eastAsia="黑体"/>
                <w:b/>
                <w:bCs/>
                <w:color w:val="000000"/>
                <w:sz w:val="24"/>
                <w:lang w:val="en-US" w:eastAsia="zh-CN"/>
              </w:rPr>
            </w:pPr>
            <w:r>
              <w:rPr>
                <w:rFonts w:hint="eastAsia" w:ascii="黑体" w:hAnsi="黑体" w:eastAsia="黑体"/>
                <w:b/>
                <w:bCs/>
                <w:color w:val="000000"/>
                <w:sz w:val="24"/>
              </w:rPr>
              <w:t>2</w:t>
            </w:r>
            <w:r>
              <w:rPr>
                <w:rFonts w:hint="eastAsia" w:ascii="黑体" w:hAnsi="黑体" w:eastAsia="黑体"/>
                <w:b/>
                <w:bCs/>
                <w:color w:val="000000"/>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765E776A">
            <w:pPr>
              <w:snapToGrid w:val="0"/>
              <w:spacing w:line="400" w:lineRule="exact"/>
              <w:jc w:val="center"/>
              <w:rPr>
                <w:rFonts w:hint="eastAsia" w:ascii="黑体" w:hAnsi="黑体" w:eastAsia="黑体"/>
                <w:b/>
                <w:bCs/>
                <w:color w:val="FF0000"/>
                <w:sz w:val="24"/>
                <w:lang w:val="en-US" w:eastAsia="zh-CN"/>
              </w:rPr>
            </w:pPr>
            <w:r>
              <w:rPr>
                <w:rFonts w:hint="eastAsia" w:ascii="黑体" w:hAnsi="黑体" w:eastAsia="黑体"/>
                <w:b/>
                <w:bCs/>
                <w:color w:val="FF0000"/>
                <w:sz w:val="24"/>
              </w:rPr>
              <w:t>2</w:t>
            </w:r>
            <w:r>
              <w:rPr>
                <w:rFonts w:hint="eastAsia" w:ascii="黑体" w:hAnsi="黑体" w:eastAsia="黑体"/>
                <w:b/>
                <w:bCs/>
                <w:color w:val="FF0000"/>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275FAD2F">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2C805D96">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7DB6E705">
            <w:pPr>
              <w:snapToGrid w:val="0"/>
              <w:spacing w:line="400" w:lineRule="exact"/>
              <w:jc w:val="center"/>
              <w:rPr>
                <w:rFonts w:hint="eastAsia" w:ascii="黑体" w:hAnsi="黑体" w:eastAsia="黑体"/>
                <w:b/>
                <w:bCs/>
                <w:color w:val="00B050"/>
                <w:sz w:val="24"/>
                <w:lang w:val="en-US" w:eastAsia="zh-CN"/>
              </w:rPr>
            </w:pPr>
            <w:r>
              <w:rPr>
                <w:rFonts w:ascii="黑体" w:hAnsi="黑体" w:eastAsia="黑体"/>
                <w:b/>
                <w:bCs/>
                <w:color w:val="00B050"/>
                <w:sz w:val="24"/>
              </w:rPr>
              <w:t>2</w:t>
            </w:r>
            <w:r>
              <w:rPr>
                <w:rFonts w:hint="eastAsia" w:ascii="黑体" w:hAnsi="黑体" w:eastAsia="黑体"/>
                <w:b/>
                <w:bCs/>
                <w:color w:val="00B050"/>
                <w:sz w:val="24"/>
                <w:lang w:val="en-US" w:eastAsia="zh-CN"/>
              </w:rPr>
              <w:t>6</w:t>
            </w:r>
          </w:p>
        </w:tc>
        <w:tc>
          <w:tcPr>
            <w:tcW w:w="271" w:type="pct"/>
            <w:tcBorders>
              <w:top w:val="single" w:color="auto" w:sz="4" w:space="0"/>
              <w:left w:val="nil"/>
              <w:bottom w:val="single" w:color="auto" w:sz="4" w:space="0"/>
              <w:right w:val="single" w:color="auto" w:sz="4" w:space="0"/>
            </w:tcBorders>
            <w:vAlign w:val="center"/>
          </w:tcPr>
          <w:p w14:paraId="1926FDE5">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7</w:t>
            </w:r>
          </w:p>
        </w:tc>
        <w:tc>
          <w:tcPr>
            <w:tcW w:w="2504" w:type="pct"/>
            <w:tcBorders>
              <w:top w:val="single" w:color="auto" w:sz="4" w:space="0"/>
              <w:left w:val="nil"/>
              <w:bottom w:val="single" w:color="auto" w:sz="4" w:space="0"/>
              <w:right w:val="single" w:color="auto" w:sz="12" w:space="0"/>
            </w:tcBorders>
            <w:vAlign w:val="center"/>
          </w:tcPr>
          <w:p w14:paraId="64BF035B">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《认识平均分》施一帆</w:t>
            </w:r>
          </w:p>
        </w:tc>
      </w:tr>
      <w:tr w14:paraId="31C47FC7">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3FAB9806">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287E2D6D">
            <w:pPr>
              <w:spacing w:line="360" w:lineRule="auto"/>
              <w:jc w:val="center"/>
              <w:rPr>
                <w:rFonts w:ascii="黑体" w:hAnsi="黑体" w:eastAsia="黑体"/>
                <w:b/>
                <w:bCs/>
                <w:color w:val="7030A0"/>
              </w:rPr>
            </w:pPr>
            <w:r>
              <w:rPr>
                <w:rFonts w:hint="eastAsia" w:ascii="黑体" w:hAnsi="黑体" w:eastAsia="黑体"/>
                <w:b/>
                <w:bCs/>
                <w:color w:val="7030A0"/>
              </w:rPr>
              <w:t>九</w:t>
            </w:r>
          </w:p>
        </w:tc>
        <w:tc>
          <w:tcPr>
            <w:tcW w:w="270" w:type="pct"/>
            <w:tcBorders>
              <w:top w:val="single" w:color="auto" w:sz="4" w:space="0"/>
              <w:left w:val="nil"/>
              <w:bottom w:val="single" w:color="auto" w:sz="4" w:space="0"/>
              <w:right w:val="single" w:color="auto" w:sz="4" w:space="0"/>
            </w:tcBorders>
            <w:vAlign w:val="center"/>
          </w:tcPr>
          <w:p w14:paraId="4268BE82">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03A056DF">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789DCFD0">
            <w:pPr>
              <w:snapToGrid w:val="0"/>
              <w:spacing w:line="400" w:lineRule="exact"/>
              <w:jc w:val="center"/>
              <w:rPr>
                <w:rFonts w:hint="default" w:ascii="黑体" w:hAnsi="黑体" w:eastAsia="黑体"/>
                <w:b/>
                <w:bCs/>
                <w:color w:val="FF0000"/>
                <w:sz w:val="24"/>
                <w:lang w:val="en-US" w:eastAsia="zh-CN"/>
              </w:rPr>
            </w:pPr>
            <w:r>
              <w:rPr>
                <w:rFonts w:hint="eastAsia" w:ascii="黑体" w:hAnsi="黑体" w:eastAsia="黑体"/>
                <w:b/>
                <w:bCs/>
                <w:color w:val="FF0000"/>
                <w:sz w:val="24"/>
                <w:lang w:val="en-US" w:eastAsia="zh-CN"/>
              </w:rPr>
              <w:t>30</w:t>
            </w:r>
          </w:p>
        </w:tc>
        <w:tc>
          <w:tcPr>
            <w:tcW w:w="270" w:type="pct"/>
            <w:tcBorders>
              <w:top w:val="single" w:color="auto" w:sz="4" w:space="0"/>
              <w:left w:val="nil"/>
              <w:bottom w:val="single" w:color="auto" w:sz="4" w:space="0"/>
              <w:right w:val="single" w:color="auto" w:sz="4" w:space="0"/>
            </w:tcBorders>
            <w:vAlign w:val="center"/>
          </w:tcPr>
          <w:p w14:paraId="72491CEF">
            <w:pPr>
              <w:snapToGrid w:val="0"/>
              <w:spacing w:line="400" w:lineRule="exact"/>
              <w:jc w:val="center"/>
              <w:rPr>
                <w:rFonts w:hint="default" w:ascii="黑体" w:hAnsi="黑体" w:eastAsia="黑体"/>
                <w:b/>
                <w:bCs/>
                <w:color w:val="000000"/>
                <w:sz w:val="24"/>
                <w:lang w:val="en-US" w:eastAsia="zh-CN"/>
              </w:rPr>
            </w:pPr>
            <w:r>
              <w:rPr>
                <w:rFonts w:hint="eastAsia" w:ascii="黑体" w:hAnsi="黑体" w:eastAsia="黑体"/>
                <w:b/>
                <w:bCs/>
                <w:color w:val="000000"/>
                <w:sz w:val="24"/>
                <w:lang w:val="en-US" w:eastAsia="zh-CN"/>
              </w:rPr>
              <w:t>31</w:t>
            </w:r>
          </w:p>
        </w:tc>
        <w:tc>
          <w:tcPr>
            <w:tcW w:w="270" w:type="pct"/>
            <w:tcBorders>
              <w:top w:val="single" w:color="auto" w:sz="4" w:space="0"/>
              <w:left w:val="nil"/>
              <w:bottom w:val="single" w:color="auto" w:sz="4" w:space="0"/>
              <w:right w:val="single" w:color="auto" w:sz="4" w:space="0"/>
            </w:tcBorders>
            <w:vAlign w:val="center"/>
          </w:tcPr>
          <w:p w14:paraId="2F1C0DC5">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11/1</w:t>
            </w:r>
          </w:p>
        </w:tc>
        <w:tc>
          <w:tcPr>
            <w:tcW w:w="270" w:type="pct"/>
            <w:tcBorders>
              <w:top w:val="single" w:color="auto" w:sz="4" w:space="0"/>
              <w:left w:val="nil"/>
              <w:bottom w:val="single" w:color="auto" w:sz="4" w:space="0"/>
              <w:right w:val="single" w:color="auto" w:sz="4" w:space="0"/>
            </w:tcBorders>
            <w:vAlign w:val="center"/>
          </w:tcPr>
          <w:p w14:paraId="4ABC3393">
            <w:pPr>
              <w:snapToGrid w:val="0"/>
              <w:spacing w:line="400" w:lineRule="exact"/>
              <w:jc w:val="center"/>
              <w:rPr>
                <w:rFonts w:hint="eastAsia" w:ascii="黑体" w:hAnsi="黑体" w:eastAsia="黑体"/>
                <w:b/>
                <w:bCs/>
                <w:sz w:val="24"/>
                <w:lang w:eastAsia="zh-CN"/>
              </w:rPr>
            </w:pPr>
            <w:r>
              <w:rPr>
                <w:rFonts w:hint="eastAsia" w:ascii="黑体" w:hAnsi="黑体" w:eastAsia="黑体"/>
                <w:b/>
                <w:bCs/>
                <w:color w:val="00B050"/>
                <w:sz w:val="24"/>
                <w:lang w:val="en-US" w:eastAsia="zh-CN"/>
              </w:rPr>
              <w:t>2</w:t>
            </w:r>
          </w:p>
        </w:tc>
        <w:tc>
          <w:tcPr>
            <w:tcW w:w="271" w:type="pct"/>
            <w:tcBorders>
              <w:top w:val="single" w:color="auto" w:sz="4" w:space="0"/>
              <w:left w:val="nil"/>
              <w:bottom w:val="single" w:color="auto" w:sz="4" w:space="0"/>
              <w:right w:val="single" w:color="auto" w:sz="4" w:space="0"/>
            </w:tcBorders>
            <w:vAlign w:val="center"/>
          </w:tcPr>
          <w:p w14:paraId="01961D1A">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val="en-US" w:eastAsia="zh-CN"/>
              </w:rPr>
              <w:t>3</w:t>
            </w:r>
          </w:p>
        </w:tc>
        <w:tc>
          <w:tcPr>
            <w:tcW w:w="2504" w:type="pct"/>
            <w:tcBorders>
              <w:top w:val="single" w:color="auto" w:sz="4" w:space="0"/>
              <w:left w:val="nil"/>
              <w:bottom w:val="single" w:color="auto" w:sz="4" w:space="0"/>
              <w:right w:val="single" w:color="auto" w:sz="12" w:space="0"/>
            </w:tcBorders>
            <w:vAlign w:val="center"/>
          </w:tcPr>
          <w:p w14:paraId="2EA8DF8E">
            <w:pPr>
              <w:snapToGrid w:val="0"/>
              <w:spacing w:line="340" w:lineRule="exact"/>
              <w:ind w:firstLine="210" w:firstLineChars="100"/>
              <w:jc w:val="center"/>
              <w:rPr>
                <w:rFonts w:hint="eastAsia" w:ascii="宋体" w:hAnsi="宋体"/>
                <w:lang w:val="en-US" w:eastAsia="zh-CN"/>
              </w:rPr>
            </w:pPr>
            <w:r>
              <w:rPr>
                <w:rFonts w:hint="eastAsia" w:ascii="宋体" w:hAnsi="宋体"/>
                <w:lang w:val="en-US" w:eastAsia="zh-CN"/>
              </w:rPr>
              <w:t>集体备课</w:t>
            </w:r>
          </w:p>
        </w:tc>
      </w:tr>
      <w:tr w14:paraId="5F0B5BCC">
        <w:tblPrEx>
          <w:tblCellMar>
            <w:top w:w="0" w:type="dxa"/>
            <w:left w:w="0" w:type="dxa"/>
            <w:bottom w:w="0" w:type="dxa"/>
            <w:right w:w="0" w:type="dxa"/>
          </w:tblCellMar>
        </w:tblPrEx>
        <w:trPr>
          <w:cantSplit/>
          <w:trHeight w:val="624" w:hRule="atLeast"/>
          <w:jc w:val="center"/>
        </w:trPr>
        <w:tc>
          <w:tcPr>
            <w:tcW w:w="234" w:type="pct"/>
            <w:vMerge w:val="restart"/>
            <w:tcBorders>
              <w:top w:val="nil"/>
              <w:left w:val="single" w:color="auto" w:sz="12" w:space="0"/>
              <w:bottom w:val="single" w:color="auto" w:sz="4" w:space="0"/>
              <w:right w:val="single" w:color="auto" w:sz="4" w:space="0"/>
            </w:tcBorders>
            <w:vAlign w:val="center"/>
          </w:tcPr>
          <w:p w14:paraId="0E4EDF2C">
            <w:pPr>
              <w:spacing w:line="360" w:lineRule="auto"/>
              <w:jc w:val="center"/>
              <w:rPr>
                <w:rFonts w:ascii="仿宋" w:hAnsi="仿宋" w:eastAsia="仿宋"/>
                <w:b/>
                <w:bCs/>
              </w:rPr>
            </w:pPr>
            <w:r>
              <w:rPr>
                <w:rFonts w:hint="eastAsia" w:ascii="仿宋" w:hAnsi="仿宋" w:eastAsia="仿宋"/>
                <w:b/>
                <w:bCs/>
              </w:rPr>
              <w:t>十一</w:t>
            </w:r>
          </w:p>
          <w:p w14:paraId="24F7F398">
            <w:pPr>
              <w:spacing w:line="360" w:lineRule="auto"/>
              <w:jc w:val="center"/>
              <w:rPr>
                <w:rFonts w:ascii="仿宋" w:hAnsi="仿宋" w:eastAsia="仿宋"/>
                <w:b/>
                <w:bCs/>
              </w:rPr>
            </w:pPr>
            <w:r>
              <w:rPr>
                <w:rFonts w:hint="eastAsia" w:ascii="仿宋" w:hAnsi="仿宋" w:eastAsia="仿宋"/>
                <w:b/>
                <w:bCs/>
              </w:rPr>
              <w:t>月</w:t>
            </w:r>
          </w:p>
        </w:tc>
        <w:tc>
          <w:tcPr>
            <w:tcW w:w="367" w:type="pct"/>
            <w:tcBorders>
              <w:top w:val="single" w:color="auto" w:sz="4" w:space="0"/>
              <w:left w:val="nil"/>
              <w:bottom w:val="single" w:color="auto" w:sz="4" w:space="0"/>
              <w:right w:val="single" w:color="auto" w:sz="4" w:space="0"/>
            </w:tcBorders>
            <w:vAlign w:val="center"/>
          </w:tcPr>
          <w:p w14:paraId="7281E819">
            <w:pPr>
              <w:spacing w:line="360" w:lineRule="auto"/>
              <w:jc w:val="center"/>
              <w:rPr>
                <w:rFonts w:ascii="黑体" w:hAnsi="黑体" w:eastAsia="黑体"/>
                <w:b/>
                <w:bCs/>
                <w:color w:val="7030A0"/>
              </w:rPr>
            </w:pPr>
            <w:r>
              <w:rPr>
                <w:rFonts w:hint="eastAsia" w:ascii="黑体" w:hAnsi="黑体" w:eastAsia="黑体"/>
                <w:b/>
                <w:bCs/>
                <w:color w:val="7030A0"/>
              </w:rPr>
              <w:t>十</w:t>
            </w:r>
          </w:p>
        </w:tc>
        <w:tc>
          <w:tcPr>
            <w:tcW w:w="270" w:type="pct"/>
            <w:tcBorders>
              <w:top w:val="single" w:color="auto" w:sz="4" w:space="0"/>
              <w:left w:val="nil"/>
              <w:bottom w:val="single" w:color="auto" w:sz="4" w:space="0"/>
              <w:right w:val="single" w:color="auto" w:sz="4" w:space="0"/>
            </w:tcBorders>
            <w:vAlign w:val="center"/>
          </w:tcPr>
          <w:p w14:paraId="23E65F10">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0227CB6D">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0942E53E">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40A51067">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2D0AFF4A">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7909010C">
            <w:pPr>
              <w:snapToGrid w:val="0"/>
              <w:spacing w:line="400" w:lineRule="exact"/>
              <w:jc w:val="center"/>
              <w:rPr>
                <w:rFonts w:hint="eastAsia" w:ascii="黑体" w:hAnsi="黑体" w:eastAsia="黑体"/>
                <w:b/>
                <w:bCs/>
                <w:color w:val="00B050"/>
                <w:spacing w:val="-20"/>
                <w:sz w:val="24"/>
                <w:lang w:val="en-US" w:eastAsia="zh-CN"/>
              </w:rPr>
            </w:pPr>
            <w:r>
              <w:rPr>
                <w:rFonts w:hint="eastAsia" w:ascii="黑体" w:hAnsi="黑体" w:eastAsia="黑体"/>
                <w:b/>
                <w:bCs/>
                <w:color w:val="00B050"/>
                <w:spacing w:val="-20"/>
                <w:sz w:val="24"/>
                <w:lang w:val="en-US" w:eastAsia="zh-CN"/>
              </w:rPr>
              <w:t>9</w:t>
            </w:r>
          </w:p>
        </w:tc>
        <w:tc>
          <w:tcPr>
            <w:tcW w:w="271" w:type="pct"/>
            <w:tcBorders>
              <w:top w:val="single" w:color="auto" w:sz="4" w:space="0"/>
              <w:left w:val="nil"/>
              <w:bottom w:val="single" w:color="auto" w:sz="4" w:space="0"/>
              <w:right w:val="single" w:color="auto" w:sz="4" w:space="0"/>
            </w:tcBorders>
            <w:vAlign w:val="center"/>
          </w:tcPr>
          <w:p w14:paraId="062F3D67">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10</w:t>
            </w:r>
          </w:p>
        </w:tc>
        <w:tc>
          <w:tcPr>
            <w:tcW w:w="2504" w:type="pct"/>
            <w:tcBorders>
              <w:top w:val="single" w:color="auto" w:sz="4" w:space="0"/>
              <w:left w:val="nil"/>
              <w:bottom w:val="single" w:color="auto" w:sz="4" w:space="0"/>
              <w:right w:val="single" w:color="auto" w:sz="12" w:space="0"/>
            </w:tcBorders>
            <w:vAlign w:val="center"/>
          </w:tcPr>
          <w:p w14:paraId="07E234BB">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《解决问题的策略》沈德兄</w:t>
            </w:r>
          </w:p>
        </w:tc>
      </w:tr>
      <w:tr w14:paraId="0A08758C">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0511F019">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275BE10A">
            <w:pPr>
              <w:spacing w:line="360" w:lineRule="auto"/>
              <w:jc w:val="center"/>
              <w:rPr>
                <w:rFonts w:ascii="黑体" w:hAnsi="黑体" w:eastAsia="黑体"/>
                <w:b/>
                <w:bCs/>
                <w:color w:val="7030A0"/>
              </w:rPr>
            </w:pPr>
            <w:r>
              <w:rPr>
                <w:rFonts w:hint="eastAsia" w:ascii="黑体" w:hAnsi="黑体" w:eastAsia="黑体"/>
                <w:b/>
                <w:bCs/>
                <w:color w:val="7030A0"/>
              </w:rPr>
              <w:t>十一</w:t>
            </w:r>
          </w:p>
        </w:tc>
        <w:tc>
          <w:tcPr>
            <w:tcW w:w="270" w:type="pct"/>
            <w:tcBorders>
              <w:top w:val="single" w:color="auto" w:sz="4" w:space="0"/>
              <w:left w:val="nil"/>
              <w:bottom w:val="single" w:color="auto" w:sz="4" w:space="0"/>
              <w:right w:val="single" w:color="auto" w:sz="4" w:space="0"/>
            </w:tcBorders>
            <w:vAlign w:val="center"/>
          </w:tcPr>
          <w:p w14:paraId="3FF1B1B6">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11</w:t>
            </w:r>
          </w:p>
        </w:tc>
        <w:tc>
          <w:tcPr>
            <w:tcW w:w="270" w:type="pct"/>
            <w:tcBorders>
              <w:top w:val="single" w:color="auto" w:sz="4" w:space="0"/>
              <w:left w:val="nil"/>
              <w:bottom w:val="single" w:color="auto" w:sz="4" w:space="0"/>
              <w:right w:val="single" w:color="auto" w:sz="4" w:space="0"/>
            </w:tcBorders>
            <w:vAlign w:val="center"/>
          </w:tcPr>
          <w:p w14:paraId="5DE175C1">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6A3DCCBE">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1</w:t>
            </w:r>
            <w:r>
              <w:rPr>
                <w:rFonts w:hint="eastAsia" w:ascii="黑体" w:hAnsi="黑体" w:eastAsia="黑体"/>
                <w:b/>
                <w:bCs/>
                <w:color w:val="FF0000"/>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7DBCAC8E">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23C05CD8">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0379C631">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6</w:t>
            </w:r>
          </w:p>
        </w:tc>
        <w:tc>
          <w:tcPr>
            <w:tcW w:w="271" w:type="pct"/>
            <w:tcBorders>
              <w:top w:val="single" w:color="auto" w:sz="4" w:space="0"/>
              <w:left w:val="nil"/>
              <w:bottom w:val="single" w:color="auto" w:sz="4" w:space="0"/>
              <w:right w:val="single" w:color="auto" w:sz="4" w:space="0"/>
            </w:tcBorders>
            <w:vAlign w:val="center"/>
          </w:tcPr>
          <w:p w14:paraId="04B235F4">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7</w:t>
            </w:r>
          </w:p>
        </w:tc>
        <w:tc>
          <w:tcPr>
            <w:tcW w:w="2504" w:type="pct"/>
            <w:tcBorders>
              <w:top w:val="single" w:color="auto" w:sz="4" w:space="0"/>
              <w:left w:val="nil"/>
              <w:bottom w:val="single" w:color="auto" w:sz="4" w:space="0"/>
              <w:right w:val="single" w:color="auto" w:sz="12" w:space="0"/>
            </w:tcBorders>
            <w:vAlign w:val="center"/>
          </w:tcPr>
          <w:p w14:paraId="4E051EFA">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学科质量监测</w:t>
            </w:r>
          </w:p>
        </w:tc>
      </w:tr>
      <w:tr w14:paraId="20DBE7DA">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5663AD29">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3D5B40B7">
            <w:pPr>
              <w:spacing w:line="360" w:lineRule="auto"/>
              <w:jc w:val="center"/>
              <w:rPr>
                <w:rFonts w:ascii="黑体" w:hAnsi="黑体" w:eastAsia="黑体"/>
                <w:b/>
                <w:bCs/>
                <w:color w:val="7030A0"/>
              </w:rPr>
            </w:pPr>
            <w:r>
              <w:rPr>
                <w:rFonts w:hint="eastAsia" w:ascii="黑体" w:hAnsi="黑体" w:eastAsia="黑体"/>
                <w:b/>
                <w:bCs/>
                <w:color w:val="7030A0"/>
              </w:rPr>
              <w:t>十二</w:t>
            </w:r>
          </w:p>
        </w:tc>
        <w:tc>
          <w:tcPr>
            <w:tcW w:w="270" w:type="pct"/>
            <w:tcBorders>
              <w:top w:val="single" w:color="auto" w:sz="4" w:space="0"/>
              <w:left w:val="nil"/>
              <w:bottom w:val="single" w:color="auto" w:sz="4" w:space="0"/>
              <w:right w:val="single" w:color="auto" w:sz="4" w:space="0"/>
            </w:tcBorders>
            <w:vAlign w:val="center"/>
          </w:tcPr>
          <w:p w14:paraId="2417ADEC">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5345CC08">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20D22F57">
            <w:pPr>
              <w:snapToGrid w:val="0"/>
              <w:spacing w:line="400" w:lineRule="exact"/>
              <w:jc w:val="center"/>
              <w:rPr>
                <w:rFonts w:hint="default" w:ascii="黑体" w:hAnsi="黑体" w:eastAsia="黑体"/>
                <w:b/>
                <w:bCs/>
                <w:color w:val="FF0000"/>
                <w:sz w:val="24"/>
                <w:lang w:val="en-US" w:eastAsia="zh-CN"/>
              </w:rPr>
            </w:pPr>
            <w:r>
              <w:rPr>
                <w:rFonts w:hint="eastAsia" w:ascii="黑体" w:hAnsi="黑体" w:eastAsia="黑体"/>
                <w:b/>
                <w:bCs/>
                <w:color w:val="FF0000"/>
                <w:sz w:val="24"/>
                <w:lang w:val="en-US" w:eastAsia="zh-CN"/>
              </w:rPr>
              <w:t>20</w:t>
            </w:r>
          </w:p>
        </w:tc>
        <w:tc>
          <w:tcPr>
            <w:tcW w:w="270" w:type="pct"/>
            <w:tcBorders>
              <w:top w:val="single" w:color="auto" w:sz="4" w:space="0"/>
              <w:left w:val="nil"/>
              <w:bottom w:val="single" w:color="auto" w:sz="4" w:space="0"/>
              <w:right w:val="single" w:color="auto" w:sz="4" w:space="0"/>
            </w:tcBorders>
            <w:vAlign w:val="center"/>
          </w:tcPr>
          <w:p w14:paraId="516B291B">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21</w:t>
            </w:r>
          </w:p>
        </w:tc>
        <w:tc>
          <w:tcPr>
            <w:tcW w:w="270" w:type="pct"/>
            <w:tcBorders>
              <w:top w:val="single" w:color="auto" w:sz="4" w:space="0"/>
              <w:left w:val="nil"/>
              <w:bottom w:val="single" w:color="auto" w:sz="4" w:space="0"/>
              <w:right w:val="single" w:color="auto" w:sz="4" w:space="0"/>
            </w:tcBorders>
            <w:vAlign w:val="center"/>
          </w:tcPr>
          <w:p w14:paraId="1D6ED520">
            <w:pPr>
              <w:snapToGrid w:val="0"/>
              <w:spacing w:line="400" w:lineRule="exact"/>
              <w:jc w:val="center"/>
              <w:rPr>
                <w:rFonts w:hint="eastAsia" w:ascii="黑体" w:hAnsi="黑体" w:eastAsia="黑体"/>
                <w:b/>
                <w:bCs/>
                <w:sz w:val="24"/>
                <w:lang w:eastAsia="zh-CN"/>
              </w:rPr>
            </w:pPr>
            <w:r>
              <w:rPr>
                <w:rFonts w:ascii="黑体" w:hAnsi="黑体" w:eastAsia="黑体"/>
                <w:b/>
                <w:bCs/>
                <w:sz w:val="24"/>
              </w:rPr>
              <w:t>2</w:t>
            </w:r>
            <w:r>
              <w:rPr>
                <w:rFonts w:hint="eastAsia" w:ascii="黑体" w:hAnsi="黑体" w:eastAsia="黑体"/>
                <w:b/>
                <w:bCs/>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5E01CA16">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3</w:t>
            </w:r>
          </w:p>
        </w:tc>
        <w:tc>
          <w:tcPr>
            <w:tcW w:w="271" w:type="pct"/>
            <w:tcBorders>
              <w:top w:val="single" w:color="auto" w:sz="4" w:space="0"/>
              <w:left w:val="nil"/>
              <w:bottom w:val="single" w:color="auto" w:sz="4" w:space="0"/>
              <w:right w:val="single" w:color="auto" w:sz="4" w:space="0"/>
            </w:tcBorders>
            <w:vAlign w:val="center"/>
          </w:tcPr>
          <w:p w14:paraId="28F4DC89">
            <w:pPr>
              <w:snapToGrid w:val="0"/>
              <w:spacing w:line="400" w:lineRule="exact"/>
              <w:jc w:val="center"/>
              <w:rPr>
                <w:rFonts w:hint="eastAsia" w:ascii="黑体" w:hAnsi="黑体" w:eastAsia="黑体"/>
                <w:b/>
                <w:bCs/>
                <w:color w:val="00B050"/>
                <w:sz w:val="24"/>
                <w:lang w:val="en-US"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4</w:t>
            </w:r>
          </w:p>
        </w:tc>
        <w:tc>
          <w:tcPr>
            <w:tcW w:w="2504" w:type="pct"/>
            <w:tcBorders>
              <w:top w:val="single" w:color="auto" w:sz="4" w:space="0"/>
              <w:left w:val="nil"/>
              <w:bottom w:val="single" w:color="auto" w:sz="4" w:space="0"/>
              <w:right w:val="single" w:color="auto" w:sz="12" w:space="0"/>
            </w:tcBorders>
            <w:vAlign w:val="center"/>
          </w:tcPr>
          <w:p w14:paraId="25398D90">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《解决问题的策略》高菁</w:t>
            </w:r>
          </w:p>
        </w:tc>
      </w:tr>
      <w:tr w14:paraId="67BC15EC">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53C41C93">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395BAE4F">
            <w:pPr>
              <w:spacing w:line="360" w:lineRule="auto"/>
              <w:jc w:val="center"/>
              <w:rPr>
                <w:rFonts w:ascii="黑体" w:hAnsi="黑体" w:eastAsia="黑体"/>
                <w:b/>
                <w:bCs/>
                <w:color w:val="7030A0"/>
              </w:rPr>
            </w:pPr>
            <w:r>
              <w:rPr>
                <w:rFonts w:hint="eastAsia" w:ascii="黑体" w:hAnsi="黑体" w:eastAsia="黑体"/>
                <w:b/>
                <w:bCs/>
                <w:color w:val="7030A0"/>
              </w:rPr>
              <w:t>十三</w:t>
            </w:r>
          </w:p>
        </w:tc>
        <w:tc>
          <w:tcPr>
            <w:tcW w:w="270" w:type="pct"/>
            <w:tcBorders>
              <w:top w:val="single" w:color="auto" w:sz="4" w:space="0"/>
              <w:left w:val="nil"/>
              <w:bottom w:val="single" w:color="auto" w:sz="4" w:space="0"/>
              <w:right w:val="single" w:color="auto" w:sz="4" w:space="0"/>
            </w:tcBorders>
            <w:vAlign w:val="center"/>
          </w:tcPr>
          <w:p w14:paraId="2D92AF15">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5A0C239E">
            <w:pPr>
              <w:snapToGrid w:val="0"/>
              <w:spacing w:line="400" w:lineRule="exact"/>
              <w:jc w:val="center"/>
              <w:rPr>
                <w:rFonts w:hint="eastAsia" w:ascii="黑体" w:hAnsi="黑体" w:eastAsia="黑体"/>
                <w:b/>
                <w:bCs/>
                <w:color w:val="000000"/>
                <w:sz w:val="24"/>
                <w:lang w:val="en-US" w:eastAsia="zh-CN"/>
              </w:rPr>
            </w:pPr>
            <w:r>
              <w:rPr>
                <w:rFonts w:hint="eastAsia" w:ascii="黑体" w:hAnsi="黑体" w:eastAsia="黑体"/>
                <w:b/>
                <w:bCs/>
                <w:color w:val="000000"/>
                <w:sz w:val="24"/>
              </w:rPr>
              <w:t>2</w:t>
            </w:r>
            <w:r>
              <w:rPr>
                <w:rFonts w:hint="eastAsia" w:ascii="黑体" w:hAnsi="黑体" w:eastAsia="黑体"/>
                <w:b/>
                <w:bCs/>
                <w:color w:val="000000"/>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63ACEF92">
            <w:pPr>
              <w:snapToGrid w:val="0"/>
              <w:spacing w:line="400" w:lineRule="exact"/>
              <w:jc w:val="center"/>
              <w:rPr>
                <w:rFonts w:hint="eastAsia" w:ascii="黑体" w:hAnsi="黑体" w:eastAsia="黑体"/>
                <w:b/>
                <w:bCs/>
                <w:color w:val="FF0000"/>
                <w:sz w:val="24"/>
                <w:lang w:val="en-US" w:eastAsia="zh-CN"/>
              </w:rPr>
            </w:pPr>
            <w:r>
              <w:rPr>
                <w:rFonts w:hint="eastAsia" w:ascii="黑体" w:hAnsi="黑体" w:eastAsia="黑体"/>
                <w:b/>
                <w:bCs/>
                <w:color w:val="FF0000"/>
                <w:sz w:val="24"/>
              </w:rPr>
              <w:t>2</w:t>
            </w:r>
            <w:r>
              <w:rPr>
                <w:rFonts w:hint="eastAsia" w:ascii="黑体" w:hAnsi="黑体" w:eastAsia="黑体"/>
                <w:b/>
                <w:bCs/>
                <w:color w:val="FF0000"/>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6E6CF987">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6662A1C3">
            <w:pPr>
              <w:snapToGrid w:val="0"/>
              <w:spacing w:line="400" w:lineRule="exact"/>
              <w:jc w:val="center"/>
              <w:rPr>
                <w:rFonts w:hint="eastAsia" w:ascii="黑体" w:hAnsi="黑体" w:eastAsia="黑体"/>
                <w:b/>
                <w:bCs/>
                <w:sz w:val="24"/>
                <w:lang w:val="en-US" w:eastAsia="zh-CN"/>
              </w:rPr>
            </w:pPr>
            <w:r>
              <w:rPr>
                <w:rFonts w:hint="eastAsia" w:ascii="黑体" w:hAnsi="黑体" w:eastAsia="黑体"/>
                <w:b/>
                <w:bCs/>
                <w:sz w:val="24"/>
              </w:rPr>
              <w:t>2</w:t>
            </w:r>
            <w:r>
              <w:rPr>
                <w:rFonts w:hint="eastAsia" w:ascii="黑体" w:hAnsi="黑体" w:eastAsia="黑体"/>
                <w:b/>
                <w:bCs/>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0AD9316B">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30</w:t>
            </w:r>
          </w:p>
        </w:tc>
        <w:tc>
          <w:tcPr>
            <w:tcW w:w="271" w:type="pct"/>
            <w:tcBorders>
              <w:top w:val="single" w:color="auto" w:sz="4" w:space="0"/>
              <w:left w:val="nil"/>
              <w:bottom w:val="single" w:color="auto" w:sz="4" w:space="0"/>
              <w:right w:val="single" w:color="auto" w:sz="4" w:space="0"/>
            </w:tcBorders>
            <w:vAlign w:val="center"/>
          </w:tcPr>
          <w:p w14:paraId="25635480">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12/1</w:t>
            </w:r>
          </w:p>
        </w:tc>
        <w:tc>
          <w:tcPr>
            <w:tcW w:w="2504" w:type="pct"/>
            <w:tcBorders>
              <w:top w:val="single" w:color="auto" w:sz="4" w:space="0"/>
              <w:left w:val="nil"/>
              <w:bottom w:val="single" w:color="auto" w:sz="4" w:space="0"/>
              <w:right w:val="single" w:color="auto" w:sz="12" w:space="0"/>
            </w:tcBorders>
            <w:vAlign w:val="center"/>
          </w:tcPr>
          <w:p w14:paraId="294ED0CF">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集体备课</w:t>
            </w:r>
          </w:p>
        </w:tc>
      </w:tr>
      <w:tr w14:paraId="1DFB7F28">
        <w:tblPrEx>
          <w:tblCellMar>
            <w:top w:w="0" w:type="dxa"/>
            <w:left w:w="0" w:type="dxa"/>
            <w:bottom w:w="0" w:type="dxa"/>
            <w:right w:w="0" w:type="dxa"/>
          </w:tblCellMar>
        </w:tblPrEx>
        <w:trPr>
          <w:cantSplit/>
          <w:trHeight w:val="624" w:hRule="atLeast"/>
          <w:jc w:val="center"/>
        </w:trPr>
        <w:tc>
          <w:tcPr>
            <w:tcW w:w="234" w:type="pct"/>
            <w:vMerge w:val="restart"/>
            <w:tcBorders>
              <w:top w:val="nil"/>
              <w:left w:val="single" w:color="auto" w:sz="12" w:space="0"/>
              <w:bottom w:val="single" w:color="auto" w:sz="4" w:space="0"/>
              <w:right w:val="single" w:color="auto" w:sz="4" w:space="0"/>
            </w:tcBorders>
            <w:vAlign w:val="center"/>
          </w:tcPr>
          <w:p w14:paraId="391580D9">
            <w:pPr>
              <w:spacing w:line="360" w:lineRule="auto"/>
              <w:jc w:val="center"/>
              <w:rPr>
                <w:rFonts w:ascii="仿宋" w:hAnsi="仿宋" w:eastAsia="仿宋"/>
                <w:b/>
                <w:bCs/>
              </w:rPr>
            </w:pPr>
            <w:r>
              <w:rPr>
                <w:rFonts w:hint="eastAsia" w:ascii="仿宋" w:hAnsi="仿宋" w:eastAsia="仿宋"/>
                <w:b/>
                <w:bCs/>
              </w:rPr>
              <w:t>十二</w:t>
            </w:r>
          </w:p>
          <w:p w14:paraId="5354971A">
            <w:pPr>
              <w:spacing w:line="360" w:lineRule="auto"/>
              <w:jc w:val="center"/>
              <w:rPr>
                <w:rFonts w:ascii="仿宋" w:hAnsi="仿宋" w:eastAsia="仿宋"/>
                <w:b/>
                <w:bCs/>
              </w:rPr>
            </w:pPr>
            <w:r>
              <w:rPr>
                <w:rFonts w:hint="eastAsia" w:ascii="仿宋" w:hAnsi="仿宋" w:eastAsia="仿宋"/>
                <w:b/>
                <w:bCs/>
              </w:rPr>
              <w:t>月</w:t>
            </w:r>
          </w:p>
        </w:tc>
        <w:tc>
          <w:tcPr>
            <w:tcW w:w="367" w:type="pct"/>
            <w:tcBorders>
              <w:top w:val="single" w:color="auto" w:sz="4" w:space="0"/>
              <w:left w:val="nil"/>
              <w:bottom w:val="single" w:color="auto" w:sz="4" w:space="0"/>
              <w:right w:val="single" w:color="auto" w:sz="4" w:space="0"/>
            </w:tcBorders>
            <w:vAlign w:val="center"/>
          </w:tcPr>
          <w:p w14:paraId="2E4A8C48">
            <w:pPr>
              <w:spacing w:line="360" w:lineRule="auto"/>
              <w:jc w:val="center"/>
              <w:rPr>
                <w:rFonts w:ascii="黑体" w:hAnsi="黑体" w:eastAsia="黑体"/>
                <w:b/>
                <w:bCs/>
                <w:color w:val="7030A0"/>
              </w:rPr>
            </w:pPr>
            <w:r>
              <w:rPr>
                <w:rFonts w:hint="eastAsia" w:ascii="黑体" w:hAnsi="黑体" w:eastAsia="黑体"/>
                <w:b/>
                <w:bCs/>
                <w:color w:val="7030A0"/>
              </w:rPr>
              <w:t>十四</w:t>
            </w:r>
          </w:p>
        </w:tc>
        <w:tc>
          <w:tcPr>
            <w:tcW w:w="270" w:type="pct"/>
            <w:tcBorders>
              <w:top w:val="single" w:color="auto" w:sz="4" w:space="0"/>
              <w:left w:val="nil"/>
              <w:bottom w:val="single" w:color="auto" w:sz="4" w:space="0"/>
              <w:right w:val="single" w:color="auto" w:sz="4" w:space="0"/>
            </w:tcBorders>
            <w:vAlign w:val="center"/>
          </w:tcPr>
          <w:p w14:paraId="606BA235">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461A7A3D">
            <w:pPr>
              <w:snapToGrid w:val="0"/>
              <w:spacing w:line="400" w:lineRule="exact"/>
              <w:jc w:val="center"/>
              <w:rPr>
                <w:rFonts w:hint="eastAsia" w:ascii="黑体" w:hAnsi="黑体" w:eastAsia="黑体"/>
                <w:b/>
                <w:bCs/>
                <w:color w:val="000000"/>
                <w:sz w:val="24"/>
                <w:lang w:val="en-US" w:eastAsia="zh-CN"/>
              </w:rPr>
            </w:pPr>
            <w:r>
              <w:rPr>
                <w:rFonts w:hint="eastAsia" w:ascii="黑体" w:hAnsi="黑体" w:eastAsia="黑体"/>
                <w:b/>
                <w:bCs/>
                <w:color w:val="000000"/>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252CE859">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27C35E9A">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601551E0">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01EBF10D">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val="en-US" w:eastAsia="zh-CN"/>
              </w:rPr>
              <w:t>7</w:t>
            </w:r>
          </w:p>
        </w:tc>
        <w:tc>
          <w:tcPr>
            <w:tcW w:w="271" w:type="pct"/>
            <w:tcBorders>
              <w:top w:val="single" w:color="auto" w:sz="4" w:space="0"/>
              <w:left w:val="nil"/>
              <w:bottom w:val="single" w:color="auto" w:sz="4" w:space="0"/>
              <w:right w:val="single" w:color="auto" w:sz="4" w:space="0"/>
            </w:tcBorders>
            <w:vAlign w:val="center"/>
          </w:tcPr>
          <w:p w14:paraId="2CAA0DA7">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val="en-US" w:eastAsia="zh-CN"/>
              </w:rPr>
              <w:t>8</w:t>
            </w:r>
          </w:p>
        </w:tc>
        <w:tc>
          <w:tcPr>
            <w:tcW w:w="2504" w:type="pct"/>
            <w:tcBorders>
              <w:top w:val="single" w:color="auto" w:sz="4" w:space="0"/>
              <w:left w:val="nil"/>
              <w:bottom w:val="single" w:color="auto" w:sz="4" w:space="0"/>
              <w:right w:val="single" w:color="auto" w:sz="12" w:space="0"/>
            </w:tcBorders>
            <w:vAlign w:val="center"/>
          </w:tcPr>
          <w:p w14:paraId="174F5CB2">
            <w:pPr>
              <w:snapToGrid w:val="0"/>
              <w:spacing w:line="340" w:lineRule="exact"/>
              <w:ind w:firstLine="210" w:firstLineChars="100"/>
              <w:jc w:val="center"/>
              <w:rPr>
                <w:rFonts w:hint="eastAsia" w:ascii="宋体" w:hAnsi="宋体"/>
                <w:lang w:val="en-US" w:eastAsia="zh-CN"/>
              </w:rPr>
            </w:pPr>
            <w:r>
              <w:rPr>
                <w:rFonts w:hint="eastAsia" w:ascii="宋体" w:hAnsi="宋体"/>
                <w:lang w:val="en-US" w:eastAsia="zh-CN"/>
              </w:rPr>
              <w:t>数学节活动</w:t>
            </w:r>
          </w:p>
        </w:tc>
      </w:tr>
      <w:tr w14:paraId="2CF51F41">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15C0BD51">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62753881">
            <w:pPr>
              <w:spacing w:line="360" w:lineRule="auto"/>
              <w:jc w:val="center"/>
              <w:rPr>
                <w:rFonts w:ascii="黑体" w:hAnsi="黑体" w:eastAsia="黑体"/>
                <w:b/>
                <w:bCs/>
                <w:color w:val="7030A0"/>
              </w:rPr>
            </w:pPr>
            <w:r>
              <w:rPr>
                <w:rFonts w:hint="eastAsia" w:ascii="黑体" w:hAnsi="黑体" w:eastAsia="黑体"/>
                <w:b/>
                <w:bCs/>
                <w:color w:val="7030A0"/>
              </w:rPr>
              <w:t>十五</w:t>
            </w:r>
          </w:p>
        </w:tc>
        <w:tc>
          <w:tcPr>
            <w:tcW w:w="270" w:type="pct"/>
            <w:tcBorders>
              <w:top w:val="single" w:color="auto" w:sz="4" w:space="0"/>
              <w:left w:val="nil"/>
              <w:bottom w:val="single" w:color="auto" w:sz="4" w:space="0"/>
              <w:right w:val="single" w:color="auto" w:sz="4" w:space="0"/>
            </w:tcBorders>
            <w:vAlign w:val="center"/>
          </w:tcPr>
          <w:p w14:paraId="6AF0BD87">
            <w:pPr>
              <w:snapToGrid w:val="0"/>
              <w:spacing w:line="400" w:lineRule="exact"/>
              <w:jc w:val="center"/>
              <w:rPr>
                <w:rFonts w:hint="eastAsia" w:ascii="黑体" w:hAnsi="黑体" w:eastAsia="黑体"/>
                <w:b/>
                <w:bCs/>
                <w:spacing w:val="-20"/>
                <w:sz w:val="24"/>
                <w:lang w:eastAsia="zh-CN"/>
              </w:rPr>
            </w:pPr>
            <w:r>
              <w:rPr>
                <w:rFonts w:hint="eastAsia" w:ascii="黑体" w:hAnsi="黑体" w:eastAsia="黑体"/>
                <w:b/>
                <w:bCs/>
                <w:spacing w:val="-20"/>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061B2530">
            <w:pPr>
              <w:snapToGrid w:val="0"/>
              <w:spacing w:line="400" w:lineRule="exact"/>
              <w:jc w:val="center"/>
              <w:rPr>
                <w:rFonts w:hint="default" w:ascii="黑体" w:hAnsi="黑体" w:eastAsia="黑体"/>
                <w:b/>
                <w:bCs/>
                <w:color w:val="000000"/>
                <w:spacing w:val="-20"/>
                <w:sz w:val="24"/>
                <w:lang w:val="en-US" w:eastAsia="zh-CN"/>
              </w:rPr>
            </w:pPr>
            <w:r>
              <w:rPr>
                <w:rFonts w:hint="eastAsia" w:ascii="黑体" w:hAnsi="黑体" w:eastAsia="黑体"/>
                <w:b/>
                <w:bCs/>
                <w:color w:val="000000"/>
                <w:spacing w:val="-20"/>
                <w:sz w:val="24"/>
                <w:lang w:val="en-US" w:eastAsia="zh-CN"/>
              </w:rPr>
              <w:t>10</w:t>
            </w:r>
          </w:p>
        </w:tc>
        <w:tc>
          <w:tcPr>
            <w:tcW w:w="270" w:type="pct"/>
            <w:tcBorders>
              <w:top w:val="single" w:color="auto" w:sz="4" w:space="0"/>
              <w:left w:val="nil"/>
              <w:bottom w:val="single" w:color="auto" w:sz="4" w:space="0"/>
              <w:right w:val="single" w:color="auto" w:sz="4" w:space="0"/>
            </w:tcBorders>
            <w:vAlign w:val="center"/>
          </w:tcPr>
          <w:p w14:paraId="16B5E545">
            <w:pPr>
              <w:snapToGrid w:val="0"/>
              <w:spacing w:line="400" w:lineRule="exact"/>
              <w:jc w:val="center"/>
              <w:rPr>
                <w:rFonts w:hint="default" w:ascii="黑体" w:hAnsi="黑体" w:eastAsia="黑体"/>
                <w:b/>
                <w:bCs/>
                <w:color w:val="FF0000"/>
                <w:sz w:val="24"/>
                <w:lang w:val="en-US" w:eastAsia="zh-CN"/>
              </w:rPr>
            </w:pPr>
            <w:r>
              <w:rPr>
                <w:rFonts w:hint="eastAsia" w:ascii="黑体" w:hAnsi="黑体" w:eastAsia="黑体"/>
                <w:b/>
                <w:bCs/>
                <w:color w:val="FF0000"/>
                <w:sz w:val="24"/>
                <w:lang w:val="en-US" w:eastAsia="zh-CN"/>
              </w:rPr>
              <w:t>11</w:t>
            </w:r>
          </w:p>
        </w:tc>
        <w:tc>
          <w:tcPr>
            <w:tcW w:w="270" w:type="pct"/>
            <w:tcBorders>
              <w:top w:val="single" w:color="auto" w:sz="4" w:space="0"/>
              <w:left w:val="nil"/>
              <w:bottom w:val="single" w:color="auto" w:sz="4" w:space="0"/>
              <w:right w:val="single" w:color="auto" w:sz="4" w:space="0"/>
            </w:tcBorders>
            <w:vAlign w:val="center"/>
          </w:tcPr>
          <w:p w14:paraId="523A6F51">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2</w:t>
            </w:r>
          </w:p>
        </w:tc>
        <w:tc>
          <w:tcPr>
            <w:tcW w:w="270" w:type="pct"/>
            <w:tcBorders>
              <w:top w:val="single" w:color="auto" w:sz="4" w:space="0"/>
              <w:left w:val="nil"/>
              <w:bottom w:val="single" w:color="auto" w:sz="4" w:space="0"/>
              <w:right w:val="single" w:color="auto" w:sz="4" w:space="0"/>
            </w:tcBorders>
            <w:vAlign w:val="center"/>
          </w:tcPr>
          <w:p w14:paraId="4C3D509A">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5AE6B983">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4</w:t>
            </w:r>
          </w:p>
        </w:tc>
        <w:tc>
          <w:tcPr>
            <w:tcW w:w="271" w:type="pct"/>
            <w:tcBorders>
              <w:top w:val="single" w:color="auto" w:sz="4" w:space="0"/>
              <w:left w:val="nil"/>
              <w:bottom w:val="single" w:color="auto" w:sz="4" w:space="0"/>
              <w:right w:val="single" w:color="auto" w:sz="4" w:space="0"/>
            </w:tcBorders>
            <w:vAlign w:val="center"/>
          </w:tcPr>
          <w:p w14:paraId="2DAC27A0">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5</w:t>
            </w:r>
          </w:p>
        </w:tc>
        <w:tc>
          <w:tcPr>
            <w:tcW w:w="2504" w:type="pct"/>
            <w:tcBorders>
              <w:top w:val="single" w:color="auto" w:sz="4" w:space="0"/>
              <w:left w:val="nil"/>
              <w:bottom w:val="single" w:color="auto" w:sz="4" w:space="0"/>
              <w:right w:val="single" w:color="auto" w:sz="12" w:space="0"/>
            </w:tcBorders>
            <w:vAlign w:val="center"/>
          </w:tcPr>
          <w:p w14:paraId="6BCD1F68">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《表内乘法》潘忠德</w:t>
            </w:r>
          </w:p>
        </w:tc>
      </w:tr>
      <w:tr w14:paraId="709CA1E8">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68CCBD42">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7DB5E55A">
            <w:pPr>
              <w:spacing w:line="360" w:lineRule="auto"/>
              <w:jc w:val="center"/>
              <w:rPr>
                <w:rFonts w:ascii="黑体" w:hAnsi="黑体" w:eastAsia="黑体"/>
                <w:b/>
                <w:bCs/>
                <w:color w:val="7030A0"/>
              </w:rPr>
            </w:pPr>
            <w:r>
              <w:rPr>
                <w:rFonts w:hint="eastAsia" w:ascii="黑体" w:hAnsi="黑体" w:eastAsia="黑体"/>
                <w:b/>
                <w:bCs/>
                <w:color w:val="7030A0"/>
              </w:rPr>
              <w:t>十六</w:t>
            </w:r>
          </w:p>
        </w:tc>
        <w:tc>
          <w:tcPr>
            <w:tcW w:w="270" w:type="pct"/>
            <w:tcBorders>
              <w:top w:val="single" w:color="auto" w:sz="4" w:space="0"/>
              <w:left w:val="nil"/>
              <w:bottom w:val="single" w:color="auto" w:sz="4" w:space="0"/>
              <w:right w:val="single" w:color="auto" w:sz="4" w:space="0"/>
            </w:tcBorders>
            <w:vAlign w:val="center"/>
          </w:tcPr>
          <w:p w14:paraId="112A272F">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7566CAC0">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1</w:t>
            </w:r>
            <w:r>
              <w:rPr>
                <w:rFonts w:hint="eastAsia" w:ascii="黑体" w:hAnsi="黑体" w:eastAsia="黑体"/>
                <w:b/>
                <w:bCs/>
                <w:color w:val="000000"/>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1149ADDD">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1</w:t>
            </w:r>
            <w:r>
              <w:rPr>
                <w:rFonts w:hint="eastAsia" w:ascii="黑体" w:hAnsi="黑体" w:eastAsia="黑体"/>
                <w:b/>
                <w:bCs/>
                <w:color w:val="FF0000"/>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5F52405D">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5B01F4CD">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20</w:t>
            </w:r>
          </w:p>
        </w:tc>
        <w:tc>
          <w:tcPr>
            <w:tcW w:w="270" w:type="pct"/>
            <w:tcBorders>
              <w:top w:val="single" w:color="auto" w:sz="4" w:space="0"/>
              <w:left w:val="nil"/>
              <w:bottom w:val="single" w:color="auto" w:sz="4" w:space="0"/>
              <w:right w:val="single" w:color="auto" w:sz="4" w:space="0"/>
            </w:tcBorders>
            <w:vAlign w:val="center"/>
          </w:tcPr>
          <w:p w14:paraId="095EF8EB">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21</w:t>
            </w:r>
          </w:p>
        </w:tc>
        <w:tc>
          <w:tcPr>
            <w:tcW w:w="271" w:type="pct"/>
            <w:tcBorders>
              <w:top w:val="single" w:color="auto" w:sz="4" w:space="0"/>
              <w:left w:val="nil"/>
              <w:bottom w:val="single" w:color="auto" w:sz="4" w:space="0"/>
              <w:right w:val="single" w:color="auto" w:sz="4" w:space="0"/>
            </w:tcBorders>
            <w:vAlign w:val="center"/>
          </w:tcPr>
          <w:p w14:paraId="1462779A">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2</w:t>
            </w:r>
          </w:p>
        </w:tc>
        <w:tc>
          <w:tcPr>
            <w:tcW w:w="2504" w:type="pct"/>
            <w:tcBorders>
              <w:top w:val="single" w:color="auto" w:sz="4" w:space="0"/>
              <w:left w:val="nil"/>
              <w:bottom w:val="single" w:color="auto" w:sz="4" w:space="0"/>
              <w:right w:val="single" w:color="auto" w:sz="12" w:space="0"/>
            </w:tcBorders>
            <w:vAlign w:val="center"/>
          </w:tcPr>
          <w:p w14:paraId="3558F850">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集体备课</w:t>
            </w:r>
          </w:p>
        </w:tc>
      </w:tr>
      <w:tr w14:paraId="5F20967C">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040D3C96">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7551C86A">
            <w:pPr>
              <w:spacing w:line="360" w:lineRule="auto"/>
              <w:jc w:val="center"/>
              <w:rPr>
                <w:rFonts w:ascii="黑体" w:hAnsi="黑体" w:eastAsia="黑体"/>
                <w:b/>
                <w:bCs/>
                <w:color w:val="7030A0"/>
              </w:rPr>
            </w:pPr>
            <w:r>
              <w:rPr>
                <w:rFonts w:hint="eastAsia" w:ascii="黑体" w:hAnsi="黑体" w:eastAsia="黑体"/>
                <w:b/>
                <w:bCs/>
                <w:color w:val="7030A0"/>
              </w:rPr>
              <w:t>十七</w:t>
            </w:r>
          </w:p>
        </w:tc>
        <w:tc>
          <w:tcPr>
            <w:tcW w:w="270" w:type="pct"/>
            <w:tcBorders>
              <w:top w:val="single" w:color="auto" w:sz="4" w:space="0"/>
              <w:left w:val="nil"/>
              <w:bottom w:val="single" w:color="auto" w:sz="4" w:space="0"/>
              <w:right w:val="single" w:color="auto" w:sz="4" w:space="0"/>
            </w:tcBorders>
            <w:vAlign w:val="center"/>
          </w:tcPr>
          <w:p w14:paraId="3C9C8F98">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0000" w:themeColor="text1"/>
                <w:sz w:val="24"/>
                <w14:textFill>
                  <w14:solidFill>
                    <w14:schemeClr w14:val="tx1"/>
                  </w14:solidFill>
                </w14:textFill>
              </w:rPr>
              <w:t>2</w:t>
            </w:r>
            <w:r>
              <w:rPr>
                <w:rFonts w:hint="eastAsia" w:ascii="黑体" w:hAnsi="黑体" w:eastAsia="黑体"/>
                <w:b/>
                <w:bCs/>
                <w:color w:val="000000" w:themeColor="text1"/>
                <w:sz w:val="24"/>
                <w:lang w:val="en-US" w:eastAsia="zh-CN"/>
                <w14:textFill>
                  <w14:solidFill>
                    <w14:schemeClr w14:val="tx1"/>
                  </w14:solidFill>
                </w14:textFill>
              </w:rPr>
              <w:t>3</w:t>
            </w:r>
          </w:p>
        </w:tc>
        <w:tc>
          <w:tcPr>
            <w:tcW w:w="270" w:type="pct"/>
            <w:tcBorders>
              <w:top w:val="single" w:color="auto" w:sz="4" w:space="0"/>
              <w:left w:val="nil"/>
              <w:bottom w:val="single" w:color="auto" w:sz="4" w:space="0"/>
              <w:right w:val="single" w:color="auto" w:sz="4" w:space="0"/>
            </w:tcBorders>
            <w:vAlign w:val="center"/>
          </w:tcPr>
          <w:p w14:paraId="5C52342C">
            <w:pPr>
              <w:snapToGrid w:val="0"/>
              <w:spacing w:line="400" w:lineRule="exact"/>
              <w:jc w:val="center"/>
              <w:rPr>
                <w:rFonts w:hint="eastAsia" w:ascii="黑体" w:hAnsi="黑体" w:eastAsia="黑体"/>
                <w:b/>
                <w:bCs/>
                <w:color w:val="000000"/>
                <w:sz w:val="24"/>
                <w:lang w:eastAsia="zh-CN"/>
              </w:rPr>
            </w:pPr>
            <w:r>
              <w:rPr>
                <w:rFonts w:hint="eastAsia" w:ascii="黑体" w:hAnsi="黑体" w:eastAsia="黑体"/>
                <w:b/>
                <w:bCs/>
                <w:color w:val="000000"/>
                <w:sz w:val="24"/>
              </w:rPr>
              <w:t>2</w:t>
            </w:r>
            <w:r>
              <w:rPr>
                <w:rFonts w:hint="eastAsia" w:ascii="黑体" w:hAnsi="黑体" w:eastAsia="黑体"/>
                <w:b/>
                <w:bCs/>
                <w:color w:val="000000"/>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0D65C289">
            <w:pPr>
              <w:snapToGrid w:val="0"/>
              <w:spacing w:line="400" w:lineRule="exact"/>
              <w:jc w:val="center"/>
              <w:rPr>
                <w:rFonts w:hint="eastAsia" w:ascii="黑体" w:hAnsi="黑体" w:eastAsia="黑体"/>
                <w:b/>
                <w:bCs/>
                <w:color w:val="FF0000"/>
                <w:sz w:val="24"/>
                <w:lang w:eastAsia="zh-CN"/>
              </w:rPr>
            </w:pPr>
            <w:r>
              <w:rPr>
                <w:rFonts w:hint="eastAsia" w:ascii="黑体" w:hAnsi="黑体" w:eastAsia="黑体"/>
                <w:b/>
                <w:bCs/>
                <w:color w:val="FF0000"/>
                <w:sz w:val="24"/>
              </w:rPr>
              <w:t>2</w:t>
            </w:r>
            <w:r>
              <w:rPr>
                <w:rFonts w:hint="eastAsia" w:ascii="黑体" w:hAnsi="黑体" w:eastAsia="黑体"/>
                <w:b/>
                <w:bCs/>
                <w:color w:val="FF0000"/>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19DFBD13">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2</w:t>
            </w: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6BFF553C">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2</w:t>
            </w: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6B37E818">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8</w:t>
            </w:r>
          </w:p>
        </w:tc>
        <w:tc>
          <w:tcPr>
            <w:tcW w:w="271" w:type="pct"/>
            <w:tcBorders>
              <w:top w:val="single" w:color="auto" w:sz="4" w:space="0"/>
              <w:left w:val="nil"/>
              <w:bottom w:val="single" w:color="auto" w:sz="4" w:space="0"/>
              <w:right w:val="single" w:color="auto" w:sz="4" w:space="0"/>
            </w:tcBorders>
            <w:vAlign w:val="center"/>
          </w:tcPr>
          <w:p w14:paraId="5D31C7E3">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2</w:t>
            </w:r>
            <w:r>
              <w:rPr>
                <w:rFonts w:hint="eastAsia" w:ascii="黑体" w:hAnsi="黑体" w:eastAsia="黑体"/>
                <w:b/>
                <w:bCs/>
                <w:color w:val="00B050"/>
                <w:sz w:val="24"/>
                <w:lang w:val="en-US" w:eastAsia="zh-CN"/>
              </w:rPr>
              <w:t>9</w:t>
            </w:r>
          </w:p>
        </w:tc>
        <w:tc>
          <w:tcPr>
            <w:tcW w:w="2504" w:type="pct"/>
            <w:tcBorders>
              <w:top w:val="single" w:color="auto" w:sz="4" w:space="0"/>
              <w:left w:val="nil"/>
              <w:bottom w:val="single" w:color="auto" w:sz="4" w:space="0"/>
              <w:right w:val="single" w:color="auto" w:sz="12" w:space="0"/>
            </w:tcBorders>
            <w:vAlign w:val="center"/>
          </w:tcPr>
          <w:p w14:paraId="6AB7690B">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《用字母表示数》狄井跚</w:t>
            </w:r>
          </w:p>
        </w:tc>
      </w:tr>
      <w:tr w14:paraId="33C16C18">
        <w:tblPrEx>
          <w:tblCellMar>
            <w:top w:w="0" w:type="dxa"/>
            <w:left w:w="0" w:type="dxa"/>
            <w:bottom w:w="0" w:type="dxa"/>
            <w:right w:w="0" w:type="dxa"/>
          </w:tblCellMar>
        </w:tblPrEx>
        <w:trPr>
          <w:cantSplit/>
          <w:trHeight w:val="624" w:hRule="atLeast"/>
          <w:jc w:val="center"/>
        </w:trPr>
        <w:tc>
          <w:tcPr>
            <w:tcW w:w="234" w:type="pct"/>
            <w:vMerge w:val="continue"/>
            <w:tcBorders>
              <w:top w:val="nil"/>
              <w:left w:val="single" w:color="auto" w:sz="12" w:space="0"/>
              <w:bottom w:val="single" w:color="auto" w:sz="4" w:space="0"/>
              <w:right w:val="single" w:color="auto" w:sz="4" w:space="0"/>
            </w:tcBorders>
            <w:vAlign w:val="center"/>
          </w:tcPr>
          <w:p w14:paraId="5CEBDD14">
            <w:pPr>
              <w:widowControl/>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4DA7785C">
            <w:pPr>
              <w:spacing w:line="360" w:lineRule="auto"/>
              <w:jc w:val="center"/>
              <w:rPr>
                <w:rFonts w:ascii="黑体" w:hAnsi="黑体" w:eastAsia="黑体"/>
                <w:b/>
                <w:bCs/>
                <w:color w:val="7030A0"/>
              </w:rPr>
            </w:pPr>
            <w:r>
              <w:rPr>
                <w:rFonts w:hint="eastAsia" w:ascii="黑体" w:hAnsi="黑体" w:eastAsia="黑体"/>
                <w:b/>
                <w:bCs/>
                <w:color w:val="7030A0"/>
              </w:rPr>
              <w:t>十八</w:t>
            </w:r>
          </w:p>
        </w:tc>
        <w:tc>
          <w:tcPr>
            <w:tcW w:w="270" w:type="pct"/>
            <w:tcBorders>
              <w:top w:val="single" w:color="auto" w:sz="4" w:space="0"/>
              <w:left w:val="nil"/>
              <w:bottom w:val="single" w:color="auto" w:sz="4" w:space="0"/>
              <w:right w:val="single" w:color="auto" w:sz="4" w:space="0"/>
            </w:tcBorders>
            <w:vAlign w:val="center"/>
          </w:tcPr>
          <w:p w14:paraId="4B761D81">
            <w:pPr>
              <w:snapToGrid w:val="0"/>
              <w:spacing w:line="400" w:lineRule="exact"/>
              <w:jc w:val="center"/>
              <w:rPr>
                <w:rFonts w:hint="default" w:ascii="黑体" w:hAnsi="黑体" w:eastAsia="黑体"/>
                <w:b/>
                <w:bCs/>
                <w:color w:val="000000" w:themeColor="text1"/>
                <w:sz w:val="24"/>
                <w:lang w:val="en-US" w:eastAsia="zh-CN"/>
                <w14:textFill>
                  <w14:solidFill>
                    <w14:schemeClr w14:val="tx1"/>
                  </w14:solidFill>
                </w14:textFill>
              </w:rPr>
            </w:pPr>
            <w:r>
              <w:rPr>
                <w:rFonts w:hint="eastAsia" w:ascii="黑体" w:hAnsi="黑体" w:eastAsia="黑体"/>
                <w:b/>
                <w:bCs/>
                <w:color w:val="000000" w:themeColor="text1"/>
                <w:sz w:val="24"/>
                <w:lang w:val="en-US" w:eastAsia="zh-CN"/>
                <w14:textFill>
                  <w14:solidFill>
                    <w14:schemeClr w14:val="tx1"/>
                  </w14:solidFill>
                </w14:textFill>
              </w:rPr>
              <w:t>30</w:t>
            </w:r>
          </w:p>
        </w:tc>
        <w:tc>
          <w:tcPr>
            <w:tcW w:w="270" w:type="pct"/>
            <w:tcBorders>
              <w:top w:val="single" w:color="auto" w:sz="4" w:space="0"/>
              <w:left w:val="nil"/>
              <w:bottom w:val="single" w:color="auto" w:sz="4" w:space="0"/>
              <w:right w:val="single" w:color="auto" w:sz="4" w:space="0"/>
            </w:tcBorders>
            <w:vAlign w:val="center"/>
          </w:tcPr>
          <w:p w14:paraId="70A00F69">
            <w:pPr>
              <w:snapToGrid w:val="0"/>
              <w:spacing w:line="400" w:lineRule="exact"/>
              <w:jc w:val="center"/>
              <w:rPr>
                <w:rFonts w:hint="default" w:ascii="黑体" w:hAnsi="黑体" w:eastAsia="黑体"/>
                <w:b/>
                <w:bCs/>
                <w:color w:val="000000" w:themeColor="text1"/>
                <w:sz w:val="24"/>
                <w:lang w:val="en-US" w:eastAsia="zh-CN"/>
                <w14:textFill>
                  <w14:solidFill>
                    <w14:schemeClr w14:val="tx1"/>
                  </w14:solidFill>
                </w14:textFill>
              </w:rPr>
            </w:pPr>
            <w:r>
              <w:rPr>
                <w:rFonts w:hint="eastAsia" w:ascii="黑体" w:hAnsi="黑体" w:eastAsia="黑体"/>
                <w:b/>
                <w:bCs/>
                <w:color w:val="000000" w:themeColor="text1"/>
                <w:sz w:val="24"/>
                <w:lang w:val="en-US" w:eastAsia="zh-CN"/>
                <w14:textFill>
                  <w14:solidFill>
                    <w14:schemeClr w14:val="tx1"/>
                  </w14:solidFill>
                </w14:textFill>
              </w:rPr>
              <w:t>31</w:t>
            </w:r>
          </w:p>
        </w:tc>
        <w:tc>
          <w:tcPr>
            <w:tcW w:w="270" w:type="pct"/>
            <w:tcBorders>
              <w:top w:val="single" w:color="auto" w:sz="4" w:space="0"/>
              <w:left w:val="nil"/>
              <w:bottom w:val="single" w:color="auto" w:sz="4" w:space="0"/>
              <w:right w:val="single" w:color="auto" w:sz="4" w:space="0"/>
            </w:tcBorders>
            <w:vAlign w:val="center"/>
          </w:tcPr>
          <w:p w14:paraId="05DB9D71">
            <w:pPr>
              <w:snapToGrid w:val="0"/>
              <w:spacing w:line="400" w:lineRule="exact"/>
              <w:jc w:val="center"/>
              <w:rPr>
                <w:rFonts w:hint="default" w:ascii="黑体" w:hAnsi="黑体" w:eastAsia="黑体"/>
                <w:b/>
                <w:bCs/>
                <w:color w:val="FF0000"/>
                <w:spacing w:val="-20"/>
                <w:sz w:val="24"/>
                <w:lang w:val="en-US" w:eastAsia="zh-CN"/>
              </w:rPr>
            </w:pPr>
            <w:r>
              <w:rPr>
                <w:rFonts w:hint="eastAsia" w:ascii="黑体" w:hAnsi="黑体" w:eastAsia="黑体"/>
                <w:b/>
                <w:bCs/>
                <w:color w:val="00B050"/>
                <w:sz w:val="24"/>
              </w:rPr>
              <w:t>1</w:t>
            </w:r>
            <w:r>
              <w:rPr>
                <w:rFonts w:ascii="黑体" w:hAnsi="黑体" w:eastAsia="黑体"/>
                <w:b/>
                <w:bCs/>
                <w:color w:val="00B050"/>
                <w:sz w:val="24"/>
              </w:rPr>
              <w:t>/1</w:t>
            </w:r>
          </w:p>
        </w:tc>
        <w:tc>
          <w:tcPr>
            <w:tcW w:w="270" w:type="pct"/>
            <w:tcBorders>
              <w:top w:val="single" w:color="auto" w:sz="4" w:space="0"/>
              <w:left w:val="nil"/>
              <w:bottom w:val="single" w:color="auto" w:sz="4" w:space="0"/>
              <w:right w:val="single" w:color="auto" w:sz="4" w:space="0"/>
            </w:tcBorders>
            <w:vAlign w:val="center"/>
          </w:tcPr>
          <w:p w14:paraId="09E46C7D">
            <w:pPr>
              <w:snapToGrid w:val="0"/>
              <w:spacing w:line="400" w:lineRule="exact"/>
              <w:jc w:val="center"/>
              <w:rPr>
                <w:rFonts w:ascii="黑体" w:hAnsi="黑体" w:eastAsia="黑体"/>
                <w:b/>
                <w:bCs/>
                <w:color w:val="000000" w:themeColor="text1"/>
                <w:spacing w:val="-20"/>
                <w:sz w:val="24"/>
                <w14:textFill>
                  <w14:solidFill>
                    <w14:schemeClr w14:val="tx1"/>
                  </w14:solidFill>
                </w14:textFill>
              </w:rPr>
            </w:pPr>
            <w:r>
              <w:rPr>
                <w:rFonts w:ascii="黑体" w:hAnsi="黑体" w:eastAsia="黑体"/>
                <w:b/>
                <w:bCs/>
                <w:color w:val="000000" w:themeColor="text1"/>
                <w:sz w:val="24"/>
                <w14:textFill>
                  <w14:solidFill>
                    <w14:schemeClr w14:val="tx1"/>
                  </w14:solidFill>
                </w14:textFill>
              </w:rPr>
              <w:t>2</w:t>
            </w:r>
          </w:p>
        </w:tc>
        <w:tc>
          <w:tcPr>
            <w:tcW w:w="270" w:type="pct"/>
            <w:tcBorders>
              <w:top w:val="single" w:color="auto" w:sz="4" w:space="0"/>
              <w:left w:val="nil"/>
              <w:bottom w:val="single" w:color="auto" w:sz="4" w:space="0"/>
              <w:right w:val="single" w:color="auto" w:sz="4" w:space="0"/>
            </w:tcBorders>
            <w:vAlign w:val="center"/>
          </w:tcPr>
          <w:p w14:paraId="447348A2">
            <w:pPr>
              <w:snapToGrid w:val="0"/>
              <w:spacing w:line="400" w:lineRule="exact"/>
              <w:jc w:val="center"/>
              <w:rPr>
                <w:rFonts w:ascii="黑体" w:hAnsi="黑体" w:eastAsia="黑体"/>
                <w:b/>
                <w:bCs/>
                <w:color w:val="000000" w:themeColor="text1"/>
                <w:sz w:val="24"/>
                <w14:textFill>
                  <w14:solidFill>
                    <w14:schemeClr w14:val="tx1"/>
                  </w14:solidFill>
                </w14:textFill>
              </w:rPr>
            </w:pPr>
            <w:r>
              <w:rPr>
                <w:rFonts w:ascii="黑体" w:hAnsi="黑体" w:eastAsia="黑体"/>
                <w:b/>
                <w:bCs/>
                <w:color w:val="000000" w:themeColor="text1"/>
                <w:sz w:val="24"/>
                <w14:textFill>
                  <w14:solidFill>
                    <w14:schemeClr w14:val="tx1"/>
                  </w14:solidFill>
                </w14:textFill>
              </w:rPr>
              <w:t>3</w:t>
            </w:r>
          </w:p>
        </w:tc>
        <w:tc>
          <w:tcPr>
            <w:tcW w:w="270" w:type="pct"/>
            <w:tcBorders>
              <w:top w:val="single" w:color="auto" w:sz="4" w:space="0"/>
              <w:left w:val="nil"/>
              <w:bottom w:val="single" w:color="auto" w:sz="4" w:space="0"/>
              <w:right w:val="single" w:color="auto" w:sz="4" w:space="0"/>
            </w:tcBorders>
            <w:vAlign w:val="center"/>
          </w:tcPr>
          <w:p w14:paraId="36371E44">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eastAsia="zh-CN"/>
              </w:rPr>
              <w:t>4</w:t>
            </w:r>
          </w:p>
        </w:tc>
        <w:tc>
          <w:tcPr>
            <w:tcW w:w="271" w:type="pct"/>
            <w:tcBorders>
              <w:top w:val="single" w:color="auto" w:sz="4" w:space="0"/>
              <w:left w:val="nil"/>
              <w:bottom w:val="single" w:color="auto" w:sz="4" w:space="0"/>
              <w:right w:val="single" w:color="auto" w:sz="4" w:space="0"/>
            </w:tcBorders>
            <w:vAlign w:val="center"/>
          </w:tcPr>
          <w:p w14:paraId="101BACE8">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lang w:eastAsia="zh-CN"/>
              </w:rPr>
              <w:t>5</w:t>
            </w:r>
          </w:p>
        </w:tc>
        <w:tc>
          <w:tcPr>
            <w:tcW w:w="2504" w:type="pct"/>
            <w:tcBorders>
              <w:top w:val="single" w:color="auto" w:sz="4" w:space="0"/>
              <w:left w:val="nil"/>
              <w:bottom w:val="single" w:color="auto" w:sz="4" w:space="0"/>
              <w:right w:val="single" w:color="auto" w:sz="12" w:space="0"/>
            </w:tcBorders>
            <w:vAlign w:val="center"/>
          </w:tcPr>
          <w:p w14:paraId="6889DE8E">
            <w:pPr>
              <w:snapToGrid w:val="0"/>
              <w:spacing w:line="340" w:lineRule="exact"/>
              <w:ind w:firstLine="210" w:firstLineChars="100"/>
              <w:jc w:val="center"/>
              <w:rPr>
                <w:rFonts w:hint="eastAsia" w:ascii="宋体" w:hAnsi="宋体"/>
                <w:lang w:val="en-US" w:eastAsia="zh-CN"/>
              </w:rPr>
            </w:pPr>
            <w:r>
              <w:rPr>
                <w:rFonts w:hint="eastAsia" w:ascii="宋体" w:hAnsi="宋体"/>
                <w:lang w:val="en-US" w:eastAsia="zh-CN"/>
              </w:rPr>
              <w:t>元旦</w:t>
            </w:r>
          </w:p>
        </w:tc>
      </w:tr>
      <w:tr w14:paraId="664AB07D">
        <w:tblPrEx>
          <w:tblCellMar>
            <w:top w:w="0" w:type="dxa"/>
            <w:left w:w="0" w:type="dxa"/>
            <w:bottom w:w="0" w:type="dxa"/>
            <w:right w:w="0" w:type="dxa"/>
          </w:tblCellMar>
        </w:tblPrEx>
        <w:trPr>
          <w:cantSplit/>
          <w:trHeight w:val="624" w:hRule="atLeast"/>
          <w:jc w:val="center"/>
        </w:trPr>
        <w:tc>
          <w:tcPr>
            <w:tcW w:w="234" w:type="pct"/>
            <w:vMerge w:val="restart"/>
            <w:tcBorders>
              <w:top w:val="single" w:color="auto" w:sz="4" w:space="0"/>
              <w:left w:val="single" w:color="auto" w:sz="12" w:space="0"/>
              <w:right w:val="single" w:color="auto" w:sz="4" w:space="0"/>
            </w:tcBorders>
            <w:vAlign w:val="center"/>
          </w:tcPr>
          <w:p w14:paraId="76C73E28">
            <w:pPr>
              <w:widowControl/>
              <w:jc w:val="left"/>
              <w:rPr>
                <w:rFonts w:ascii="仿宋" w:hAnsi="仿宋" w:eastAsia="仿宋"/>
                <w:b/>
                <w:bCs/>
              </w:rPr>
            </w:pPr>
            <w:r>
              <w:rPr>
                <w:rFonts w:hint="eastAsia" w:ascii="仿宋" w:hAnsi="仿宋" w:eastAsia="仿宋"/>
                <w:b/>
                <w:bCs/>
              </w:rPr>
              <w:t>一月</w:t>
            </w:r>
          </w:p>
          <w:p w14:paraId="1C962462">
            <w:pPr>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5E06DA7C">
            <w:pPr>
              <w:spacing w:line="360" w:lineRule="auto"/>
              <w:jc w:val="center"/>
              <w:rPr>
                <w:rFonts w:ascii="黑体" w:hAnsi="黑体" w:eastAsia="黑体"/>
                <w:b/>
                <w:bCs/>
                <w:color w:val="7030A0"/>
              </w:rPr>
            </w:pPr>
            <w:r>
              <w:rPr>
                <w:rFonts w:hint="eastAsia" w:ascii="黑体" w:hAnsi="黑体" w:eastAsia="黑体"/>
                <w:b/>
                <w:bCs/>
                <w:color w:val="7030A0"/>
              </w:rPr>
              <w:t>十九</w:t>
            </w:r>
          </w:p>
        </w:tc>
        <w:tc>
          <w:tcPr>
            <w:tcW w:w="270" w:type="pct"/>
            <w:tcBorders>
              <w:top w:val="single" w:color="auto" w:sz="4" w:space="0"/>
              <w:left w:val="nil"/>
              <w:bottom w:val="single" w:color="auto" w:sz="4" w:space="0"/>
              <w:right w:val="single" w:color="auto" w:sz="4" w:space="0"/>
            </w:tcBorders>
            <w:vAlign w:val="center"/>
          </w:tcPr>
          <w:p w14:paraId="3BB7C46C">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7D69B87A">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5DEACFC3">
            <w:pPr>
              <w:snapToGrid w:val="0"/>
              <w:spacing w:line="400" w:lineRule="exact"/>
              <w:jc w:val="center"/>
              <w:rPr>
                <w:rFonts w:hint="eastAsia" w:ascii="黑体" w:hAnsi="黑体" w:eastAsia="黑体"/>
                <w:b/>
                <w:bCs/>
                <w:color w:val="FF0000"/>
                <w:spacing w:val="-20"/>
                <w:sz w:val="24"/>
                <w:lang w:eastAsia="zh-CN"/>
              </w:rPr>
            </w:pPr>
            <w:r>
              <w:rPr>
                <w:rFonts w:hint="eastAsia" w:ascii="黑体" w:hAnsi="黑体" w:eastAsia="黑体"/>
                <w:b/>
                <w:bCs/>
                <w:color w:val="FF0000"/>
                <w:spacing w:val="-20"/>
                <w:sz w:val="24"/>
                <w:lang w:val="en-US" w:eastAsia="zh-CN"/>
              </w:rPr>
              <w:t>8</w:t>
            </w:r>
          </w:p>
        </w:tc>
        <w:tc>
          <w:tcPr>
            <w:tcW w:w="270" w:type="pct"/>
            <w:tcBorders>
              <w:top w:val="single" w:color="auto" w:sz="4" w:space="0"/>
              <w:left w:val="nil"/>
              <w:bottom w:val="single" w:color="auto" w:sz="4" w:space="0"/>
              <w:right w:val="single" w:color="auto" w:sz="4" w:space="0"/>
            </w:tcBorders>
            <w:vAlign w:val="center"/>
          </w:tcPr>
          <w:p w14:paraId="4B57D136">
            <w:pPr>
              <w:snapToGrid w:val="0"/>
              <w:spacing w:line="400" w:lineRule="exact"/>
              <w:jc w:val="center"/>
              <w:rPr>
                <w:rFonts w:hint="eastAsia" w:ascii="黑体" w:hAnsi="黑体" w:eastAsia="黑体"/>
                <w:b/>
                <w:bCs/>
                <w:spacing w:val="-20"/>
                <w:sz w:val="24"/>
                <w:lang w:eastAsia="zh-CN"/>
              </w:rPr>
            </w:pPr>
            <w:r>
              <w:rPr>
                <w:rFonts w:hint="eastAsia" w:ascii="黑体" w:hAnsi="黑体" w:eastAsia="黑体"/>
                <w:b/>
                <w:bCs/>
                <w:spacing w:val="-20"/>
                <w:sz w:val="24"/>
                <w:lang w:val="en-US" w:eastAsia="zh-CN"/>
              </w:rPr>
              <w:t>9</w:t>
            </w:r>
          </w:p>
        </w:tc>
        <w:tc>
          <w:tcPr>
            <w:tcW w:w="270" w:type="pct"/>
            <w:tcBorders>
              <w:top w:val="single" w:color="auto" w:sz="4" w:space="0"/>
              <w:left w:val="nil"/>
              <w:bottom w:val="single" w:color="auto" w:sz="4" w:space="0"/>
              <w:right w:val="single" w:color="auto" w:sz="4" w:space="0"/>
            </w:tcBorders>
            <w:vAlign w:val="center"/>
          </w:tcPr>
          <w:p w14:paraId="78D6E028">
            <w:pPr>
              <w:snapToGrid w:val="0"/>
              <w:spacing w:line="400" w:lineRule="exact"/>
              <w:jc w:val="center"/>
              <w:rPr>
                <w:rFonts w:hint="default" w:ascii="黑体" w:hAnsi="黑体" w:eastAsia="黑体"/>
                <w:b/>
                <w:bCs/>
                <w:sz w:val="24"/>
                <w:lang w:val="en-US" w:eastAsia="zh-CN"/>
              </w:rPr>
            </w:pPr>
            <w:r>
              <w:rPr>
                <w:rFonts w:hint="eastAsia" w:ascii="黑体" w:hAnsi="黑体" w:eastAsia="黑体"/>
                <w:b/>
                <w:bCs/>
                <w:sz w:val="24"/>
                <w:lang w:val="en-US" w:eastAsia="zh-CN"/>
              </w:rPr>
              <w:t>10</w:t>
            </w:r>
          </w:p>
        </w:tc>
        <w:tc>
          <w:tcPr>
            <w:tcW w:w="270" w:type="pct"/>
            <w:tcBorders>
              <w:top w:val="single" w:color="auto" w:sz="4" w:space="0"/>
              <w:left w:val="nil"/>
              <w:bottom w:val="single" w:color="auto" w:sz="4" w:space="0"/>
              <w:right w:val="single" w:color="auto" w:sz="4" w:space="0"/>
            </w:tcBorders>
            <w:vAlign w:val="center"/>
          </w:tcPr>
          <w:p w14:paraId="21F73350">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11</w:t>
            </w:r>
          </w:p>
        </w:tc>
        <w:tc>
          <w:tcPr>
            <w:tcW w:w="271" w:type="pct"/>
            <w:tcBorders>
              <w:top w:val="single" w:color="auto" w:sz="4" w:space="0"/>
              <w:left w:val="nil"/>
              <w:bottom w:val="single" w:color="auto" w:sz="4" w:space="0"/>
              <w:right w:val="single" w:color="auto" w:sz="4" w:space="0"/>
            </w:tcBorders>
            <w:vAlign w:val="center"/>
          </w:tcPr>
          <w:p w14:paraId="049A9B85">
            <w:pPr>
              <w:snapToGrid w:val="0"/>
              <w:spacing w:line="400" w:lineRule="exact"/>
              <w:jc w:val="center"/>
              <w:rPr>
                <w:rFonts w:hint="default" w:ascii="黑体" w:hAnsi="黑体" w:eastAsia="黑体"/>
                <w:b/>
                <w:bCs/>
                <w:color w:val="00B050"/>
                <w:sz w:val="24"/>
                <w:lang w:val="en-US" w:eastAsia="zh-CN"/>
              </w:rPr>
            </w:pPr>
            <w:r>
              <w:rPr>
                <w:rFonts w:hint="eastAsia" w:ascii="黑体" w:hAnsi="黑体" w:eastAsia="黑体"/>
                <w:b/>
                <w:bCs/>
                <w:color w:val="00B050"/>
                <w:sz w:val="24"/>
                <w:lang w:val="en-US" w:eastAsia="zh-CN"/>
              </w:rPr>
              <w:t>12</w:t>
            </w:r>
          </w:p>
        </w:tc>
        <w:tc>
          <w:tcPr>
            <w:tcW w:w="2504" w:type="pct"/>
            <w:tcBorders>
              <w:top w:val="single" w:color="auto" w:sz="4" w:space="0"/>
              <w:left w:val="nil"/>
              <w:bottom w:val="single" w:color="auto" w:sz="4" w:space="0"/>
              <w:right w:val="single" w:color="auto" w:sz="12" w:space="0"/>
            </w:tcBorders>
            <w:vAlign w:val="center"/>
          </w:tcPr>
          <w:p w14:paraId="25A31736">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各年级组制定期末复习计划</w:t>
            </w:r>
          </w:p>
        </w:tc>
      </w:tr>
      <w:tr w14:paraId="3E11BB2B">
        <w:tblPrEx>
          <w:tblCellMar>
            <w:top w:w="0" w:type="dxa"/>
            <w:left w:w="0" w:type="dxa"/>
            <w:bottom w:w="0" w:type="dxa"/>
            <w:right w:w="0" w:type="dxa"/>
          </w:tblCellMar>
        </w:tblPrEx>
        <w:trPr>
          <w:cantSplit/>
          <w:trHeight w:val="403" w:hRule="atLeast"/>
          <w:jc w:val="center"/>
        </w:trPr>
        <w:tc>
          <w:tcPr>
            <w:tcW w:w="234" w:type="pct"/>
            <w:vMerge w:val="continue"/>
            <w:tcBorders>
              <w:left w:val="single" w:color="auto" w:sz="12" w:space="0"/>
              <w:right w:val="single" w:color="auto" w:sz="4" w:space="0"/>
            </w:tcBorders>
            <w:vAlign w:val="center"/>
          </w:tcPr>
          <w:p w14:paraId="04D6CF75">
            <w:pPr>
              <w:jc w:val="left"/>
              <w:rPr>
                <w:rFonts w:ascii="仿宋" w:hAnsi="仿宋" w:eastAsia="仿宋"/>
                <w:b/>
                <w:bCs/>
              </w:rPr>
            </w:pPr>
          </w:p>
        </w:tc>
        <w:tc>
          <w:tcPr>
            <w:tcW w:w="367" w:type="pct"/>
            <w:tcBorders>
              <w:top w:val="single" w:color="auto" w:sz="4" w:space="0"/>
              <w:left w:val="nil"/>
              <w:bottom w:val="single" w:color="auto" w:sz="4" w:space="0"/>
              <w:right w:val="single" w:color="auto" w:sz="4" w:space="0"/>
            </w:tcBorders>
            <w:vAlign w:val="center"/>
          </w:tcPr>
          <w:p w14:paraId="074BEDE7">
            <w:pPr>
              <w:spacing w:line="360" w:lineRule="auto"/>
              <w:jc w:val="center"/>
              <w:rPr>
                <w:rFonts w:ascii="黑体" w:hAnsi="黑体" w:eastAsia="黑体"/>
                <w:b/>
                <w:bCs/>
                <w:color w:val="7030A0"/>
              </w:rPr>
            </w:pPr>
            <w:r>
              <w:rPr>
                <w:rFonts w:hint="eastAsia" w:ascii="黑体" w:hAnsi="黑体" w:eastAsia="黑体"/>
                <w:b/>
                <w:bCs/>
                <w:color w:val="7030A0"/>
              </w:rPr>
              <w:t>二十</w:t>
            </w:r>
          </w:p>
        </w:tc>
        <w:tc>
          <w:tcPr>
            <w:tcW w:w="270" w:type="pct"/>
            <w:tcBorders>
              <w:top w:val="single" w:color="auto" w:sz="4" w:space="0"/>
              <w:left w:val="nil"/>
              <w:bottom w:val="single" w:color="auto" w:sz="4" w:space="0"/>
              <w:right w:val="single" w:color="auto" w:sz="4" w:space="0"/>
            </w:tcBorders>
            <w:vAlign w:val="center"/>
          </w:tcPr>
          <w:p w14:paraId="406A9351">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3</w:t>
            </w:r>
          </w:p>
        </w:tc>
        <w:tc>
          <w:tcPr>
            <w:tcW w:w="270" w:type="pct"/>
            <w:tcBorders>
              <w:top w:val="single" w:color="auto" w:sz="4" w:space="0"/>
              <w:left w:val="nil"/>
              <w:bottom w:val="single" w:color="auto" w:sz="4" w:space="0"/>
              <w:right w:val="single" w:color="auto" w:sz="4" w:space="0"/>
            </w:tcBorders>
            <w:vAlign w:val="center"/>
          </w:tcPr>
          <w:p w14:paraId="129708FC">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4</w:t>
            </w:r>
          </w:p>
        </w:tc>
        <w:tc>
          <w:tcPr>
            <w:tcW w:w="270" w:type="pct"/>
            <w:tcBorders>
              <w:top w:val="single" w:color="auto" w:sz="4" w:space="0"/>
              <w:left w:val="nil"/>
              <w:bottom w:val="single" w:color="auto" w:sz="4" w:space="0"/>
              <w:right w:val="single" w:color="auto" w:sz="4" w:space="0"/>
            </w:tcBorders>
            <w:vAlign w:val="center"/>
          </w:tcPr>
          <w:p w14:paraId="509E920C">
            <w:pPr>
              <w:snapToGrid w:val="0"/>
              <w:spacing w:line="400" w:lineRule="exact"/>
              <w:jc w:val="center"/>
              <w:rPr>
                <w:rFonts w:hint="eastAsia" w:ascii="黑体" w:hAnsi="黑体" w:eastAsia="黑体"/>
                <w:b/>
                <w:bCs/>
                <w:color w:val="FF0000"/>
                <w:spacing w:val="-20"/>
                <w:sz w:val="24"/>
                <w:lang w:eastAsia="zh-CN"/>
              </w:rPr>
            </w:pPr>
            <w:r>
              <w:rPr>
                <w:rFonts w:hint="eastAsia" w:ascii="黑体" w:hAnsi="黑体" w:eastAsia="黑体"/>
                <w:b/>
                <w:bCs/>
                <w:color w:val="FF0000"/>
                <w:spacing w:val="-20"/>
                <w:sz w:val="24"/>
              </w:rPr>
              <w:t>1</w:t>
            </w:r>
            <w:r>
              <w:rPr>
                <w:rFonts w:hint="eastAsia" w:ascii="黑体" w:hAnsi="黑体" w:eastAsia="黑体"/>
                <w:b/>
                <w:bCs/>
                <w:color w:val="FF0000"/>
                <w:spacing w:val="-20"/>
                <w:sz w:val="24"/>
                <w:lang w:val="en-US" w:eastAsia="zh-CN"/>
              </w:rPr>
              <w:t>5</w:t>
            </w:r>
          </w:p>
        </w:tc>
        <w:tc>
          <w:tcPr>
            <w:tcW w:w="270" w:type="pct"/>
            <w:tcBorders>
              <w:top w:val="single" w:color="auto" w:sz="4" w:space="0"/>
              <w:left w:val="nil"/>
              <w:bottom w:val="single" w:color="auto" w:sz="4" w:space="0"/>
              <w:right w:val="single" w:color="auto" w:sz="4" w:space="0"/>
            </w:tcBorders>
            <w:vAlign w:val="center"/>
          </w:tcPr>
          <w:p w14:paraId="614AACA9">
            <w:pPr>
              <w:snapToGrid w:val="0"/>
              <w:spacing w:line="400" w:lineRule="exact"/>
              <w:jc w:val="center"/>
              <w:rPr>
                <w:rFonts w:hint="eastAsia" w:ascii="黑体" w:hAnsi="黑体" w:eastAsia="黑体"/>
                <w:b/>
                <w:bCs/>
                <w:spacing w:val="-20"/>
                <w:sz w:val="24"/>
                <w:lang w:eastAsia="zh-CN"/>
              </w:rPr>
            </w:pPr>
            <w:r>
              <w:rPr>
                <w:rFonts w:hint="eastAsia" w:ascii="黑体" w:hAnsi="黑体" w:eastAsia="黑体"/>
                <w:b/>
                <w:bCs/>
                <w:spacing w:val="-20"/>
                <w:sz w:val="24"/>
              </w:rPr>
              <w:t>1</w:t>
            </w:r>
            <w:r>
              <w:rPr>
                <w:rFonts w:hint="eastAsia" w:ascii="黑体" w:hAnsi="黑体" w:eastAsia="黑体"/>
                <w:b/>
                <w:bCs/>
                <w:spacing w:val="-20"/>
                <w:sz w:val="24"/>
                <w:lang w:val="en-US" w:eastAsia="zh-CN"/>
              </w:rPr>
              <w:t>6</w:t>
            </w:r>
          </w:p>
        </w:tc>
        <w:tc>
          <w:tcPr>
            <w:tcW w:w="270" w:type="pct"/>
            <w:tcBorders>
              <w:top w:val="single" w:color="auto" w:sz="4" w:space="0"/>
              <w:left w:val="nil"/>
              <w:bottom w:val="single" w:color="auto" w:sz="4" w:space="0"/>
              <w:right w:val="single" w:color="auto" w:sz="4" w:space="0"/>
            </w:tcBorders>
            <w:vAlign w:val="center"/>
          </w:tcPr>
          <w:p w14:paraId="3FAD58C6">
            <w:pPr>
              <w:snapToGrid w:val="0"/>
              <w:spacing w:line="400" w:lineRule="exact"/>
              <w:jc w:val="center"/>
              <w:rPr>
                <w:rFonts w:hint="eastAsia" w:ascii="黑体" w:hAnsi="黑体" w:eastAsia="黑体"/>
                <w:b/>
                <w:bCs/>
                <w:sz w:val="24"/>
                <w:lang w:eastAsia="zh-CN"/>
              </w:rPr>
            </w:pPr>
            <w:r>
              <w:rPr>
                <w:rFonts w:hint="eastAsia" w:ascii="黑体" w:hAnsi="黑体" w:eastAsia="黑体"/>
                <w:b/>
                <w:bCs/>
                <w:sz w:val="24"/>
              </w:rPr>
              <w:t>1</w:t>
            </w:r>
            <w:r>
              <w:rPr>
                <w:rFonts w:hint="eastAsia" w:ascii="黑体" w:hAnsi="黑体" w:eastAsia="黑体"/>
                <w:b/>
                <w:bCs/>
                <w:sz w:val="24"/>
                <w:lang w:val="en-US" w:eastAsia="zh-CN"/>
              </w:rPr>
              <w:t>7</w:t>
            </w:r>
          </w:p>
        </w:tc>
        <w:tc>
          <w:tcPr>
            <w:tcW w:w="270" w:type="pct"/>
            <w:tcBorders>
              <w:top w:val="single" w:color="auto" w:sz="4" w:space="0"/>
              <w:left w:val="nil"/>
              <w:bottom w:val="single" w:color="auto" w:sz="4" w:space="0"/>
              <w:right w:val="single" w:color="auto" w:sz="4" w:space="0"/>
            </w:tcBorders>
            <w:vAlign w:val="center"/>
          </w:tcPr>
          <w:p w14:paraId="5EF8DF8D">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8</w:t>
            </w:r>
          </w:p>
        </w:tc>
        <w:tc>
          <w:tcPr>
            <w:tcW w:w="271" w:type="pct"/>
            <w:tcBorders>
              <w:top w:val="single" w:color="auto" w:sz="4" w:space="0"/>
              <w:left w:val="nil"/>
              <w:bottom w:val="single" w:color="auto" w:sz="4" w:space="0"/>
              <w:right w:val="single" w:color="auto" w:sz="4" w:space="0"/>
            </w:tcBorders>
            <w:vAlign w:val="center"/>
          </w:tcPr>
          <w:p w14:paraId="1B10DF1A">
            <w:pPr>
              <w:snapToGrid w:val="0"/>
              <w:spacing w:line="400" w:lineRule="exact"/>
              <w:jc w:val="center"/>
              <w:rPr>
                <w:rFonts w:hint="eastAsia" w:ascii="黑体" w:hAnsi="黑体" w:eastAsia="黑体"/>
                <w:b/>
                <w:bCs/>
                <w:color w:val="00B050"/>
                <w:sz w:val="24"/>
                <w:lang w:eastAsia="zh-CN"/>
              </w:rPr>
            </w:pPr>
            <w:r>
              <w:rPr>
                <w:rFonts w:hint="eastAsia" w:ascii="黑体" w:hAnsi="黑体" w:eastAsia="黑体"/>
                <w:b/>
                <w:bCs/>
                <w:color w:val="00B050"/>
                <w:sz w:val="24"/>
              </w:rPr>
              <w:t>1</w:t>
            </w:r>
            <w:r>
              <w:rPr>
                <w:rFonts w:hint="eastAsia" w:ascii="黑体" w:hAnsi="黑体" w:eastAsia="黑体"/>
                <w:b/>
                <w:bCs/>
                <w:color w:val="00B050"/>
                <w:sz w:val="24"/>
                <w:lang w:val="en-US" w:eastAsia="zh-CN"/>
              </w:rPr>
              <w:t>9</w:t>
            </w:r>
          </w:p>
        </w:tc>
        <w:tc>
          <w:tcPr>
            <w:tcW w:w="2504" w:type="pct"/>
            <w:tcBorders>
              <w:top w:val="single" w:color="auto" w:sz="4" w:space="0"/>
              <w:left w:val="nil"/>
              <w:bottom w:val="single" w:color="auto" w:sz="4" w:space="0"/>
              <w:right w:val="single" w:color="auto" w:sz="12" w:space="0"/>
            </w:tcBorders>
            <w:vAlign w:val="center"/>
          </w:tcPr>
          <w:p w14:paraId="419215BE">
            <w:pPr>
              <w:snapToGrid w:val="0"/>
              <w:spacing w:line="340" w:lineRule="exact"/>
              <w:ind w:firstLine="210" w:firstLineChars="100"/>
              <w:jc w:val="center"/>
              <w:rPr>
                <w:rFonts w:hint="default" w:ascii="宋体" w:hAnsi="宋体"/>
                <w:lang w:val="en-US" w:eastAsia="zh-CN"/>
              </w:rPr>
            </w:pPr>
            <w:r>
              <w:rPr>
                <w:rFonts w:hint="eastAsia" w:ascii="宋体" w:hAnsi="宋体"/>
                <w:lang w:val="en-US" w:eastAsia="zh-CN"/>
              </w:rPr>
              <w:t>期末测试</w:t>
            </w:r>
          </w:p>
        </w:tc>
      </w:tr>
    </w:tbl>
    <w:p w14:paraId="65DE4A6B">
      <w:pPr>
        <w:numPr>
          <w:ilvl w:val="0"/>
          <w:numId w:val="0"/>
        </w:numPr>
        <w:spacing w:line="480" w:lineRule="exact"/>
        <w:rPr>
          <w:rFonts w:hint="eastAsia" w:asciiTheme="minorEastAsia" w:hAnsiTheme="minorEastAsia" w:eastAsiaTheme="minorEastAsia"/>
          <w:b/>
          <w:sz w:val="24"/>
        </w:rPr>
      </w:pPr>
    </w:p>
    <w:p w14:paraId="5E39029B">
      <w:pPr>
        <w:tabs>
          <w:tab w:val="left" w:pos="2232"/>
        </w:tabs>
        <w:spacing w:line="276" w:lineRule="auto"/>
      </w:pPr>
      <w:r>
        <w:rPr>
          <w:rFonts w:ascii="宋体" w:hAnsi="宋体" w:cs="宋体"/>
          <w:b/>
          <w:sz w:val="24"/>
        </w:rPr>
        <w:t>四、各年级任课教师名单：</w:t>
      </w:r>
    </w:p>
    <w:p w14:paraId="0743ACA6">
      <w:pPr>
        <w:tabs>
          <w:tab w:val="left" w:pos="2232"/>
        </w:tabs>
        <w:spacing w:line="276" w:lineRule="auto"/>
        <w:rPr>
          <w:rFonts w:hint="default" w:eastAsia="宋体"/>
          <w:lang w:val="en-US" w:eastAsia="zh-CN"/>
        </w:rPr>
      </w:pPr>
      <w:r>
        <w:rPr>
          <w:rFonts w:ascii="宋体" w:hAnsi="宋体" w:cs="宋体"/>
          <w:sz w:val="24"/>
        </w:rPr>
        <w:t>一年级：</w:t>
      </w:r>
      <w:r>
        <w:rPr>
          <w:rFonts w:hint="eastAsia" w:ascii="宋体" w:hAnsi="宋体" w:cs="宋体"/>
          <w:sz w:val="24"/>
          <w:lang w:val="en-US" w:eastAsia="zh-CN"/>
        </w:rPr>
        <w:t>朱竹君、丁菲</w:t>
      </w:r>
    </w:p>
    <w:p w14:paraId="2F69322C">
      <w:pPr>
        <w:tabs>
          <w:tab w:val="left" w:pos="2232"/>
        </w:tabs>
        <w:spacing w:line="276" w:lineRule="auto"/>
        <w:rPr>
          <w:rFonts w:hint="default" w:eastAsia="宋体"/>
          <w:lang w:val="en-US" w:eastAsia="zh-CN"/>
        </w:rPr>
      </w:pPr>
      <w:r>
        <w:rPr>
          <w:rFonts w:ascii="宋体" w:hAnsi="宋体" w:cs="宋体"/>
          <w:sz w:val="24"/>
        </w:rPr>
        <w:t>二年级：</w:t>
      </w:r>
      <w:r>
        <w:rPr>
          <w:rFonts w:hint="eastAsia" w:ascii="宋体" w:hAnsi="宋体" w:cs="宋体"/>
          <w:sz w:val="24"/>
          <w:lang w:val="en-US" w:eastAsia="zh-CN"/>
        </w:rPr>
        <w:t>潘忠德、施一帆</w:t>
      </w:r>
    </w:p>
    <w:p w14:paraId="11F12054">
      <w:pPr>
        <w:tabs>
          <w:tab w:val="left" w:pos="2232"/>
        </w:tabs>
        <w:spacing w:line="276" w:lineRule="auto"/>
        <w:rPr>
          <w:rFonts w:hint="default" w:eastAsia="宋体"/>
          <w:lang w:val="en-US" w:eastAsia="zh-CN"/>
        </w:rPr>
      </w:pPr>
      <w:r>
        <w:rPr>
          <w:rFonts w:ascii="宋体" w:hAnsi="宋体" w:cs="宋体"/>
          <w:sz w:val="24"/>
        </w:rPr>
        <w:t>三年级：</w:t>
      </w:r>
      <w:r>
        <w:rPr>
          <w:rFonts w:hint="eastAsia" w:ascii="宋体" w:hAnsi="宋体" w:cs="宋体"/>
          <w:sz w:val="24"/>
          <w:lang w:val="en-US" w:eastAsia="zh-CN"/>
        </w:rPr>
        <w:t>王人燕、李富荣</w:t>
      </w:r>
    </w:p>
    <w:p w14:paraId="1076A583">
      <w:pPr>
        <w:tabs>
          <w:tab w:val="left" w:pos="2232"/>
        </w:tabs>
        <w:spacing w:line="276" w:lineRule="auto"/>
        <w:rPr>
          <w:rFonts w:hint="default" w:eastAsia="宋体"/>
          <w:lang w:val="en-US" w:eastAsia="zh-CN"/>
        </w:rPr>
      </w:pPr>
      <w:r>
        <w:rPr>
          <w:rFonts w:ascii="宋体" w:hAnsi="宋体" w:cs="宋体"/>
          <w:sz w:val="24"/>
        </w:rPr>
        <w:t>四年级：</w:t>
      </w:r>
      <w:r>
        <w:rPr>
          <w:rFonts w:hint="eastAsia" w:ascii="宋体" w:hAnsi="宋体" w:cs="宋体"/>
          <w:sz w:val="24"/>
          <w:lang w:val="en-US" w:eastAsia="zh-CN"/>
        </w:rPr>
        <w:t>吴海燕、张炜</w:t>
      </w:r>
    </w:p>
    <w:p w14:paraId="24B2048C">
      <w:pPr>
        <w:tabs>
          <w:tab w:val="left" w:pos="2232"/>
        </w:tabs>
        <w:spacing w:line="276" w:lineRule="auto"/>
        <w:rPr>
          <w:rFonts w:hint="eastAsia" w:eastAsia="宋体"/>
          <w:lang w:val="en-US" w:eastAsia="zh-CN"/>
        </w:rPr>
      </w:pPr>
      <w:r>
        <w:rPr>
          <w:rFonts w:ascii="宋体" w:hAnsi="宋体" w:cs="宋体"/>
          <w:sz w:val="24"/>
        </w:rPr>
        <w:t>五年级：</w:t>
      </w:r>
      <w:r>
        <w:rPr>
          <w:rFonts w:hint="eastAsia" w:ascii="宋体" w:hAnsi="宋体" w:cs="宋体"/>
          <w:sz w:val="24"/>
          <w:lang w:val="en-US" w:eastAsia="zh-CN"/>
        </w:rPr>
        <w:t>狄井跚、张宏娟</w:t>
      </w:r>
    </w:p>
    <w:p w14:paraId="2E7F2CA5">
      <w:pPr>
        <w:tabs>
          <w:tab w:val="left" w:pos="2232"/>
        </w:tabs>
        <w:spacing w:line="276" w:lineRule="auto"/>
        <w:rPr>
          <w:rFonts w:hint="default" w:eastAsia="宋体"/>
          <w:lang w:val="en-US" w:eastAsia="zh-CN"/>
        </w:rPr>
      </w:pPr>
      <w:r>
        <w:rPr>
          <w:rFonts w:ascii="宋体" w:hAnsi="宋体" w:cs="宋体"/>
          <w:sz w:val="24"/>
        </w:rPr>
        <w:t>六年级：</w:t>
      </w:r>
      <w:r>
        <w:rPr>
          <w:rFonts w:hint="eastAsia" w:ascii="宋体" w:hAnsi="宋体" w:cs="宋体"/>
          <w:sz w:val="24"/>
          <w:lang w:val="en-US" w:eastAsia="zh-CN"/>
        </w:rPr>
        <w:t>沈德兄、高菁</w:t>
      </w:r>
    </w:p>
    <w:p w14:paraId="1EA068A1">
      <w:pPr>
        <w:numPr>
          <w:ilvl w:val="0"/>
          <w:numId w:val="0"/>
        </w:numPr>
        <w:spacing w:line="480" w:lineRule="exact"/>
        <w:rPr>
          <w:rFonts w:hint="eastAsia" w:asciiTheme="minorEastAsia" w:hAnsiTheme="minorEastAsia" w:eastAsiaTheme="minorEastAsia"/>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3C6D81"/>
    <w:multiLevelType w:val="singleLevel"/>
    <w:tmpl w:val="0C3C6D81"/>
    <w:lvl w:ilvl="0" w:tentative="0">
      <w:start w:val="1"/>
      <w:numFmt w:val="chineseCounting"/>
      <w:suff w:val="nothing"/>
      <w:lvlText w:val="（%1）"/>
      <w:lvlJc w:val="left"/>
      <w:rPr>
        <w:rFonts w:hint="eastAsia"/>
      </w:rPr>
    </w:lvl>
  </w:abstractNum>
  <w:abstractNum w:abstractNumId="1">
    <w:nsid w:val="3D7CA88B"/>
    <w:multiLevelType w:val="singleLevel"/>
    <w:tmpl w:val="3D7CA88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35988d28-efbb-48ac-9fe0-0f40d43c1ca8"/>
  </w:docVars>
  <w:rsids>
    <w:rsidRoot w:val="174A50D0"/>
    <w:rsid w:val="0A922269"/>
    <w:rsid w:val="174A50D0"/>
    <w:rsid w:val="1A8C400A"/>
    <w:rsid w:val="36E4688D"/>
    <w:rsid w:val="501716A5"/>
    <w:rsid w:val="50BD548B"/>
    <w:rsid w:val="56E36785"/>
    <w:rsid w:val="5A7351C9"/>
    <w:rsid w:val="5E7E6D93"/>
    <w:rsid w:val="64611ACA"/>
    <w:rsid w:val="68955405"/>
    <w:rsid w:val="70D171F6"/>
    <w:rsid w:val="77100738"/>
    <w:rsid w:val="7C29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3411</Words>
  <Characters>3539</Characters>
  <Lines>0</Lines>
  <Paragraphs>0</Paragraphs>
  <TotalTime>12</TotalTime>
  <ScaleCrop>false</ScaleCrop>
  <LinksUpToDate>false</LinksUpToDate>
  <CharactersWithSpaces>3555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2024-08-31T00:54:00Z</dcterms:created>
  <dc:creator>zhulimin</dc:creator>
  <cp:lastModifiedBy>WPS_120497673</cp:lastModifiedBy>
  <dcterms:modified xsi:type="dcterms:W3CDTF">2024-09-04T08:14:52Z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4288DB4AC9A343B4957F1433D5325786_11</vt:lpwstr>
  </property>
</Properties>
</file>