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57774">
      <w:pPr>
        <w:spacing w:line="360" w:lineRule="auto"/>
        <w:jc w:val="center"/>
        <w:rPr>
          <w:rFonts w:hint="eastAsia" w:ascii="宋体" w:hAnsi="宋体"/>
          <w:b/>
          <w:sz w:val="24"/>
        </w:rPr>
      </w:pPr>
      <w:r>
        <w:rPr>
          <w:rFonts w:hint="eastAsia" w:ascii="宋体" w:hAnsi="宋体"/>
          <w:b/>
          <w:sz w:val="24"/>
        </w:rPr>
        <w:t>常州市华润小学数学教研组202</w:t>
      </w:r>
      <w:r>
        <w:rPr>
          <w:rFonts w:hint="eastAsia" w:ascii="宋体" w:hAnsi="宋体"/>
          <w:b/>
          <w:sz w:val="24"/>
          <w:lang w:val="en-US" w:eastAsia="zh-CN"/>
        </w:rPr>
        <w:t>4</w:t>
      </w:r>
      <w:r>
        <w:rPr>
          <w:rFonts w:hint="eastAsia" w:ascii="宋体" w:hAnsi="宋体"/>
          <w:b/>
          <w:sz w:val="24"/>
        </w:rPr>
        <w:t>-202</w:t>
      </w:r>
      <w:r>
        <w:rPr>
          <w:rFonts w:hint="eastAsia" w:ascii="宋体" w:hAnsi="宋体"/>
          <w:b/>
          <w:sz w:val="24"/>
          <w:lang w:val="en-US" w:eastAsia="zh-CN"/>
        </w:rPr>
        <w:t>5</w:t>
      </w:r>
      <w:r>
        <w:rPr>
          <w:rFonts w:hint="eastAsia" w:ascii="宋体" w:hAnsi="宋体"/>
          <w:b/>
          <w:sz w:val="24"/>
        </w:rPr>
        <w:t>学年第一学期</w:t>
      </w:r>
    </w:p>
    <w:p w14:paraId="4C952A92">
      <w:pPr>
        <w:spacing w:line="360" w:lineRule="auto"/>
        <w:jc w:val="center"/>
        <w:rPr>
          <w:rFonts w:hint="eastAsia" w:ascii="宋体" w:hAnsi="宋体"/>
          <w:b/>
          <w:sz w:val="24"/>
        </w:rPr>
      </w:pPr>
      <w:r>
        <w:rPr>
          <w:rFonts w:hint="eastAsia" w:ascii="宋体" w:hAnsi="宋体"/>
          <w:b/>
          <w:sz w:val="24"/>
        </w:rPr>
        <w:t>教研工作计划</w:t>
      </w:r>
    </w:p>
    <w:p w14:paraId="0EE4BA82">
      <w:pPr>
        <w:spacing w:line="360" w:lineRule="auto"/>
        <w:jc w:val="center"/>
        <w:rPr>
          <w:rFonts w:hint="eastAsia" w:ascii="宋体" w:hAnsi="宋体"/>
          <w:b/>
          <w:sz w:val="24"/>
        </w:rPr>
      </w:pPr>
    </w:p>
    <w:p w14:paraId="16162889">
      <w:pPr>
        <w:spacing w:before="156" w:after="156" w:line="360" w:lineRule="auto"/>
        <w:jc w:val="left"/>
        <w:rPr>
          <w:rFonts w:hint="eastAsia" w:ascii="宋体" w:hAnsi="宋体"/>
          <w:b/>
          <w:sz w:val="24"/>
        </w:rPr>
      </w:pPr>
      <w:r>
        <w:rPr>
          <w:rFonts w:hint="eastAsia" w:ascii="宋体" w:hAnsi="宋体"/>
          <w:b/>
          <w:sz w:val="24"/>
        </w:rPr>
        <w:t>一、指导思想：</w:t>
      </w:r>
    </w:p>
    <w:p w14:paraId="0056221B">
      <w:pPr>
        <w:spacing w:line="360" w:lineRule="auto"/>
        <w:jc w:val="center"/>
        <w:rPr>
          <w:rFonts w:hint="eastAsia" w:ascii="宋体" w:hAnsi="宋体"/>
          <w:sz w:val="24"/>
        </w:rPr>
      </w:pPr>
      <w:r>
        <w:rPr>
          <w:rFonts w:hint="eastAsia" w:ascii="宋体" w:hAnsi="宋体"/>
          <w:sz w:val="24"/>
        </w:rPr>
        <w:t xml:space="preserve">   本学期，华润小学数学教研组</w:t>
      </w:r>
      <w:r>
        <w:rPr>
          <w:rFonts w:hint="eastAsia" w:ascii="宋体" w:hAnsi="宋体"/>
          <w:color w:val="000000"/>
          <w:kern w:val="0"/>
          <w:sz w:val="24"/>
        </w:rPr>
        <w:t>将根据区教研室工作计划和学校工作计划，认真贯彻落</w:t>
      </w:r>
    </w:p>
    <w:p w14:paraId="7D9AA2F1">
      <w:pPr>
        <w:spacing w:line="360" w:lineRule="auto"/>
        <w:rPr>
          <w:rFonts w:hint="eastAsia" w:ascii="宋体" w:hAnsi="宋体"/>
          <w:color w:val="000000"/>
          <w:kern w:val="0"/>
          <w:sz w:val="24"/>
        </w:rPr>
      </w:pPr>
      <w:r>
        <w:rPr>
          <w:rFonts w:hint="eastAsia" w:ascii="宋体" w:hAnsi="宋体"/>
          <w:color w:val="000000"/>
          <w:kern w:val="0"/>
          <w:sz w:val="24"/>
        </w:rPr>
        <w:t>实党的教育方针。</w:t>
      </w:r>
      <w:r>
        <w:rPr>
          <w:rFonts w:hint="eastAsia" w:ascii="宋体" w:hAnsi="宋体"/>
          <w:color w:val="000000" w:themeColor="text1"/>
          <w:kern w:val="0"/>
          <w:sz w:val="24"/>
          <w14:textFill>
            <w14:solidFill>
              <w14:schemeClr w14:val="tx1"/>
            </w14:solidFill>
          </w14:textFill>
        </w:rPr>
        <w:t>以《中共中央国务院关于深化教育教学改革全面提高义务教育质量的意见》为指导，学习与落实《义务教育数学课程标准（2022版）》对教学的要求，围绕《常州市小学数学“十四五”发展规划（2021年—2025年）》和常州市小数提出的“创造适合每一个孩子的数学教育”的学科发展追求，</w:t>
      </w:r>
      <w:r>
        <w:rPr>
          <w:rFonts w:hint="eastAsia" w:ascii="宋体" w:hAnsi="宋体"/>
          <w:sz w:val="24"/>
        </w:rPr>
        <w:t>立足学生核心素养发展，</w:t>
      </w:r>
      <w:r>
        <w:rPr>
          <w:rFonts w:hint="eastAsia" w:ascii="宋体" w:hAnsi="宋体"/>
          <w:color w:val="000000"/>
          <w:sz w:val="24"/>
          <w:shd w:val="clear" w:color="auto" w:fill="FFFFFF"/>
        </w:rPr>
        <w:t>以促使学生全面、持续、和谐地发展为出发点。以活动为主线、</w:t>
      </w:r>
      <w:r>
        <w:rPr>
          <w:rFonts w:hint="eastAsia" w:ascii="宋体" w:hAnsi="宋体"/>
          <w:sz w:val="24"/>
        </w:rPr>
        <w:t>以挖掘“数学学科的育人价值”为核心，依托教研组、备课组</w:t>
      </w:r>
      <w:r>
        <w:rPr>
          <w:rFonts w:hint="eastAsia" w:ascii="宋体" w:hAnsi="宋体"/>
          <w:color w:val="000000"/>
          <w:sz w:val="24"/>
          <w:shd w:val="clear" w:color="auto" w:fill="FFFFFF"/>
        </w:rPr>
        <w:t>规范教学行为、提升教学质量、研究作业与命题设计，深化</w:t>
      </w:r>
      <w:r>
        <w:rPr>
          <w:rFonts w:hint="eastAsia" w:ascii="宋体" w:hAnsi="宋体"/>
          <w:sz w:val="24"/>
        </w:rPr>
        <w:t>教研组文化建设及课程实施推进。落实立德树人的根本任务，致力于实现义务教育阶段的培养目标，突出学科关键能力，逐步形成适应终身发展需要的核心素养。</w:t>
      </w:r>
    </w:p>
    <w:p w14:paraId="5954275E">
      <w:pPr>
        <w:spacing w:before="156" w:after="156" w:line="360" w:lineRule="auto"/>
        <w:jc w:val="left"/>
        <w:rPr>
          <w:rFonts w:hint="eastAsia" w:ascii="宋体" w:hAnsi="宋体"/>
          <w:b/>
          <w:sz w:val="24"/>
        </w:rPr>
      </w:pPr>
      <w:r>
        <w:rPr>
          <w:rFonts w:hint="eastAsia" w:ascii="宋体" w:hAnsi="宋体"/>
          <w:b/>
          <w:sz w:val="24"/>
        </w:rPr>
        <w:t>二、现状分析：</w:t>
      </w:r>
    </w:p>
    <w:p w14:paraId="1B8015B3">
      <w:pPr>
        <w:widowControl/>
        <w:spacing w:line="360" w:lineRule="auto"/>
        <w:ind w:firstLine="480" w:firstLineChars="200"/>
        <w:jc w:val="left"/>
        <w:rPr>
          <w:rFonts w:hint="eastAsia" w:ascii="宋体" w:hAnsi="宋体"/>
          <w:sz w:val="24"/>
        </w:rPr>
      </w:pPr>
      <w:r>
        <w:rPr>
          <w:rFonts w:hint="eastAsia" w:ascii="宋体" w:hAnsi="宋体"/>
          <w:sz w:val="24"/>
        </w:rPr>
        <w:t>华润小学数学教研组是一支非常年轻的队伍，教师积极要求上进，个人发展意识增强。</w:t>
      </w:r>
      <w:r>
        <w:rPr>
          <w:rFonts w:hint="eastAsia" w:ascii="宋体" w:hAnsi="宋体"/>
          <w:sz w:val="24"/>
          <w:lang w:eastAsia="zh-CN"/>
        </w:rPr>
        <w:t>本学期，来自局小本部的袁平平老师担任华润副校长，分管教育教学工作。数学组在袁校的带领下，发展更有动力与方向。</w:t>
      </w:r>
      <w:r>
        <w:rPr>
          <w:rFonts w:hint="eastAsia" w:ascii="宋体" w:hAnsi="宋体"/>
          <w:sz w:val="24"/>
        </w:rPr>
        <w:t>在过去的一学年中，部分青年教师勇于进取也初步取得了一些成绩</w:t>
      </w:r>
      <w:r>
        <w:rPr>
          <w:rFonts w:hint="eastAsia" w:ascii="宋体" w:hAnsi="宋体"/>
          <w:sz w:val="24"/>
          <w:lang w:eastAsia="zh-CN"/>
        </w:rPr>
        <w:t>，华润数学教研组已被评为区优秀教研组</w:t>
      </w:r>
      <w:r>
        <w:rPr>
          <w:rFonts w:hint="eastAsia" w:ascii="宋体" w:hAnsi="宋体"/>
          <w:sz w:val="24"/>
        </w:rPr>
        <w:t>。但是，大部分年轻教师还缺乏课堂教学经验，需要组内成熟教师的专业引领；另一方面，我组教科研成果较少，成熟师资不够，研究力不强。因此，本</w:t>
      </w:r>
      <w:r>
        <w:rPr>
          <w:rFonts w:hint="eastAsia" w:ascii="宋体" w:hAnsi="宋体"/>
          <w:sz w:val="24"/>
          <w:lang w:eastAsia="zh-CN"/>
        </w:rPr>
        <w:t>学期</w:t>
      </w:r>
      <w:r>
        <w:rPr>
          <w:rFonts w:hint="eastAsia" w:ascii="宋体" w:hAnsi="宋体"/>
          <w:sz w:val="24"/>
        </w:rPr>
        <w:t>就需要从以上两方面入手，稳扎稳打提升华润数学教研组的综合实力，促进团队快速发展。</w:t>
      </w:r>
    </w:p>
    <w:p w14:paraId="4C7397F2">
      <w:pPr>
        <w:spacing w:before="156" w:after="156" w:line="360" w:lineRule="auto"/>
        <w:jc w:val="left"/>
        <w:rPr>
          <w:rFonts w:hint="eastAsia" w:ascii="宋体" w:hAnsi="宋体"/>
          <w:b/>
          <w:sz w:val="24"/>
        </w:rPr>
      </w:pPr>
      <w:r>
        <w:rPr>
          <w:rFonts w:hint="eastAsia" w:ascii="宋体" w:hAnsi="宋体"/>
          <w:b/>
          <w:sz w:val="24"/>
        </w:rPr>
        <w:t>三、工作思路：</w:t>
      </w:r>
    </w:p>
    <w:p w14:paraId="6E702404">
      <w:pPr>
        <w:widowControl/>
        <w:spacing w:line="360" w:lineRule="auto"/>
        <w:ind w:firstLine="480" w:firstLineChars="200"/>
        <w:jc w:val="left"/>
        <w:rPr>
          <w:rFonts w:hint="eastAsia" w:ascii="宋体" w:hAnsi="宋体"/>
          <w:sz w:val="24"/>
        </w:rPr>
      </w:pPr>
      <w:r>
        <w:rPr>
          <w:rFonts w:hint="eastAsia" w:ascii="宋体" w:hAnsi="宋体"/>
          <w:sz w:val="24"/>
        </w:rPr>
        <w:t>本学期数学组将从课堂质量、课标解读</w:t>
      </w:r>
      <w:r>
        <w:rPr>
          <w:rFonts w:hint="eastAsia" w:ascii="宋体" w:hAnsi="宋体"/>
          <w:sz w:val="24"/>
          <w:lang w:eastAsia="zh-CN"/>
        </w:rPr>
        <w:t>、新教材钻研</w:t>
      </w:r>
      <w:r>
        <w:rPr>
          <w:rFonts w:hint="eastAsia" w:ascii="宋体" w:hAnsi="宋体"/>
          <w:sz w:val="24"/>
        </w:rPr>
        <w:t>等方面逐步实现“减负、提质、增效”的目标，促进学校“双减”工作的进一步落实。以课堂教学为首位，学校成立课堂教学双督机制，从学校和教研组两个层面进行听课指导，细化关注教师课堂教学质量和年轻教师的入格情况。从落实教学常规，守好教育</w:t>
      </w:r>
      <w:r>
        <w:rPr>
          <w:rFonts w:ascii="宋体" w:hAnsi="宋体"/>
          <w:sz w:val="24"/>
        </w:rPr>
        <w:t>底线</w:t>
      </w:r>
      <w:r>
        <w:rPr>
          <w:rFonts w:hint="eastAsia" w:ascii="宋体" w:hAnsi="宋体"/>
          <w:sz w:val="24"/>
        </w:rPr>
        <w:t>；高质量实施</w:t>
      </w:r>
      <w:r>
        <w:rPr>
          <w:rFonts w:ascii="宋体" w:hAnsi="宋体"/>
          <w:sz w:val="24"/>
        </w:rPr>
        <w:t>课程</w:t>
      </w:r>
      <w:r>
        <w:rPr>
          <w:rFonts w:hint="eastAsia" w:ascii="宋体" w:hAnsi="宋体"/>
          <w:sz w:val="24"/>
        </w:rPr>
        <w:t>，提升研究品质；改革学业</w:t>
      </w:r>
      <w:r>
        <w:rPr>
          <w:rFonts w:ascii="宋体" w:hAnsi="宋体"/>
          <w:sz w:val="24"/>
        </w:rPr>
        <w:t>评价</w:t>
      </w:r>
      <w:r>
        <w:rPr>
          <w:rFonts w:hint="eastAsia" w:ascii="宋体" w:hAnsi="宋体"/>
          <w:sz w:val="24"/>
        </w:rPr>
        <w:t>，落实</w:t>
      </w:r>
      <w:r>
        <w:rPr>
          <w:rFonts w:ascii="宋体" w:hAnsi="宋体"/>
          <w:sz w:val="24"/>
        </w:rPr>
        <w:t>核心素养</w:t>
      </w:r>
      <w:r>
        <w:rPr>
          <w:rFonts w:hint="eastAsia" w:ascii="宋体" w:hAnsi="宋体"/>
          <w:sz w:val="24"/>
        </w:rPr>
        <w:t>；搭建平台</w:t>
      </w:r>
      <w:r>
        <w:rPr>
          <w:rFonts w:ascii="宋体" w:hAnsi="宋体"/>
          <w:sz w:val="24"/>
        </w:rPr>
        <w:t>，赋能教师</w:t>
      </w:r>
      <w:r>
        <w:rPr>
          <w:rFonts w:hint="eastAsia" w:ascii="宋体" w:hAnsi="宋体"/>
          <w:sz w:val="24"/>
        </w:rPr>
        <w:t>成长；提升</w:t>
      </w:r>
      <w:r>
        <w:rPr>
          <w:rFonts w:ascii="宋体" w:hAnsi="宋体"/>
          <w:sz w:val="24"/>
        </w:rPr>
        <w:t>学业质量，</w:t>
      </w:r>
      <w:r>
        <w:rPr>
          <w:rFonts w:hint="eastAsia" w:ascii="宋体" w:hAnsi="宋体"/>
          <w:sz w:val="24"/>
        </w:rPr>
        <w:t>发挥</w:t>
      </w:r>
      <w:r>
        <w:rPr>
          <w:rFonts w:ascii="宋体" w:hAnsi="宋体"/>
          <w:sz w:val="24"/>
        </w:rPr>
        <w:t>育人</w:t>
      </w:r>
      <w:r>
        <w:rPr>
          <w:rFonts w:hint="eastAsia" w:ascii="宋体" w:hAnsi="宋体"/>
          <w:sz w:val="24"/>
        </w:rPr>
        <w:t>价值等</w:t>
      </w:r>
      <w:r>
        <w:rPr>
          <w:rFonts w:ascii="宋体" w:hAnsi="宋体"/>
          <w:sz w:val="24"/>
        </w:rPr>
        <w:t>方面</w:t>
      </w:r>
      <w:r>
        <w:rPr>
          <w:rFonts w:hint="eastAsia" w:ascii="宋体" w:hAnsi="宋体"/>
          <w:sz w:val="24"/>
        </w:rPr>
        <w:t>，</w:t>
      </w:r>
      <w:r>
        <w:rPr>
          <w:rFonts w:ascii="宋体" w:hAnsi="宋体"/>
          <w:sz w:val="24"/>
        </w:rPr>
        <w:t>进一步</w:t>
      </w:r>
      <w:r>
        <w:rPr>
          <w:rFonts w:hint="eastAsia" w:ascii="宋体" w:hAnsi="宋体"/>
          <w:sz w:val="24"/>
        </w:rPr>
        <w:t>丰富学生的数学学习方式，促进</w:t>
      </w:r>
      <w:r>
        <w:rPr>
          <w:rFonts w:ascii="宋体" w:hAnsi="宋体"/>
          <w:sz w:val="24"/>
        </w:rPr>
        <w:t>教学</w:t>
      </w:r>
      <w:r>
        <w:rPr>
          <w:rFonts w:hint="eastAsia" w:ascii="宋体" w:hAnsi="宋体"/>
          <w:sz w:val="24"/>
        </w:rPr>
        <w:t>水平不断</w:t>
      </w:r>
      <w:r>
        <w:rPr>
          <w:rFonts w:ascii="宋体" w:hAnsi="宋体"/>
          <w:sz w:val="24"/>
        </w:rPr>
        <w:t>提升。</w:t>
      </w:r>
    </w:p>
    <w:p w14:paraId="321F3E70">
      <w:pPr>
        <w:spacing w:before="156" w:after="156" w:line="360" w:lineRule="auto"/>
        <w:jc w:val="left"/>
        <w:rPr>
          <w:rFonts w:hint="eastAsia" w:ascii="宋体" w:hAnsi="宋体"/>
          <w:b/>
          <w:sz w:val="24"/>
        </w:rPr>
      </w:pPr>
      <w:r>
        <w:rPr>
          <w:rFonts w:hint="eastAsia" w:ascii="宋体" w:hAnsi="宋体"/>
          <w:b/>
          <w:sz w:val="24"/>
        </w:rPr>
        <w:t>四、主要工作：</w:t>
      </w:r>
    </w:p>
    <w:p w14:paraId="77B18716">
      <w:pPr>
        <w:widowControl/>
        <w:spacing w:line="360" w:lineRule="auto"/>
        <w:ind w:firstLine="482" w:firstLineChars="200"/>
        <w:jc w:val="left"/>
        <w:rPr>
          <w:rFonts w:hint="eastAsia" w:ascii="宋体" w:hAnsi="宋体"/>
          <w:b/>
          <w:sz w:val="24"/>
        </w:rPr>
      </w:pPr>
      <w:r>
        <w:rPr>
          <w:rFonts w:hint="eastAsia" w:ascii="宋体" w:hAnsi="宋体"/>
          <w:b/>
          <w:sz w:val="24"/>
        </w:rPr>
        <w:t>（一）落实教学常规，守好教育</w:t>
      </w:r>
      <w:r>
        <w:rPr>
          <w:rFonts w:ascii="宋体" w:hAnsi="宋体"/>
          <w:b/>
          <w:sz w:val="24"/>
        </w:rPr>
        <w:t>底线</w:t>
      </w:r>
    </w:p>
    <w:p w14:paraId="45C78FD8">
      <w:pPr>
        <w:widowControl/>
        <w:spacing w:line="360" w:lineRule="auto"/>
        <w:ind w:firstLine="480" w:firstLineChars="200"/>
        <w:jc w:val="left"/>
        <w:rPr>
          <w:rFonts w:hint="eastAsia" w:ascii="宋体" w:hAnsi="宋体"/>
          <w:sz w:val="24"/>
        </w:rPr>
      </w:pPr>
      <w:r>
        <w:rPr>
          <w:rFonts w:hint="eastAsia" w:ascii="宋体" w:hAnsi="宋体"/>
          <w:sz w:val="24"/>
        </w:rPr>
        <w:t>本学期数学</w:t>
      </w:r>
      <w:r>
        <w:rPr>
          <w:rFonts w:ascii="宋体" w:hAnsi="宋体"/>
          <w:sz w:val="24"/>
        </w:rPr>
        <w:t>组</w:t>
      </w:r>
      <w:r>
        <w:rPr>
          <w:rFonts w:hint="eastAsia" w:ascii="宋体" w:hAnsi="宋体"/>
          <w:sz w:val="24"/>
        </w:rPr>
        <w:t>仍然要把握常规，开展日常教学研究，夯实基础，让日常教研有成效。</w:t>
      </w:r>
    </w:p>
    <w:p w14:paraId="75E062E0">
      <w:pPr>
        <w:widowControl/>
        <w:numPr>
          <w:ilvl w:val="0"/>
          <w:numId w:val="0"/>
        </w:numPr>
        <w:spacing w:line="360" w:lineRule="auto"/>
        <w:ind w:firstLine="480" w:firstLineChars="200"/>
        <w:jc w:val="left"/>
        <w:rPr>
          <w:rFonts w:hint="default" w:ascii="宋体" w:hAnsi="宋体"/>
          <w:sz w:val="24"/>
          <w:lang w:val="en-US" w:eastAsia="zh-CN"/>
        </w:rPr>
      </w:pPr>
      <w:r>
        <w:rPr>
          <w:rFonts w:hint="eastAsia" w:ascii="宋体" w:hAnsi="宋体"/>
          <w:sz w:val="24"/>
          <w:lang w:val="en-US" w:eastAsia="zh-CN"/>
        </w:rPr>
        <w:t>1.</w:t>
      </w:r>
      <w:r>
        <w:rPr>
          <w:rFonts w:hint="eastAsia" w:ascii="宋体" w:hAnsi="宋体"/>
          <w:sz w:val="24"/>
        </w:rPr>
        <w:t>定时间、定地点、定主题开展备课组活动和教研组活动。将双周教研组活动、单周备课组活动有效结合，将每日一议和每周一课落到实处，在议课、观课、上课的过程中提高课</w:t>
      </w:r>
      <w:r>
        <w:rPr>
          <w:rFonts w:hint="eastAsia" w:ascii="宋体" w:hAnsi="宋体"/>
          <w:color w:val="000000" w:themeColor="text1"/>
          <w:sz w:val="24"/>
          <w14:textFill>
            <w14:solidFill>
              <w14:schemeClr w14:val="tx1"/>
            </w14:solidFill>
          </w14:textFill>
        </w:rPr>
        <w:t>堂驾驭能力。 备课组集体备课活动要扎扎实实开展，进行单元整体备课，资源共享。</w:t>
      </w:r>
      <w:r>
        <w:rPr>
          <w:rFonts w:hint="eastAsia" w:ascii="宋体" w:hAnsi="宋体"/>
          <w:color w:val="000000" w:themeColor="text1"/>
          <w:sz w:val="24"/>
          <w:lang w:val="en-US" w:eastAsia="zh-CN"/>
          <w14:textFill>
            <w14:solidFill>
              <w14:schemeClr w14:val="tx1"/>
            </w14:solidFill>
          </w14:textFill>
        </w:rPr>
        <w:t>并在开学第一周，开展备课组之间的经验分享活动，由原任年级教师和新任年级教师互通有无，原年级老师向新任年级老师传授教学经验，剖析教学难点，新任年级教师向原年级教师提出疑问、收获解答，从而实现教学资源的互通、经验的共享。</w:t>
      </w:r>
    </w:p>
    <w:p w14:paraId="0807AB50">
      <w:pPr>
        <w:widowControl/>
        <w:numPr>
          <w:ilvl w:val="0"/>
          <w:numId w:val="0"/>
        </w:numPr>
        <w:spacing w:line="360" w:lineRule="auto"/>
        <w:ind w:firstLine="480" w:firstLineChars="200"/>
        <w:jc w:val="left"/>
        <w:rPr>
          <w:rFonts w:hint="eastAsia" w:ascii="宋体" w:hAnsi="宋体"/>
          <w:sz w:val="24"/>
        </w:rPr>
      </w:pPr>
      <w:r>
        <w:rPr>
          <w:rFonts w:hint="eastAsia" w:ascii="宋体" w:hAnsi="宋体"/>
          <w:sz w:val="24"/>
        </w:rPr>
        <w:t>2.继续加强过程的动态考核，持续关注教师备课与上课、作业布置与批改、学生听课常规、教研活动参与情况等方面，日常考核将更多关注学生的成长以及教师的教学研究。通过日常调研考核，全面提升考核者与被考核者的数学学科综合素养。</w:t>
      </w:r>
    </w:p>
    <w:p w14:paraId="2D6EBD03">
      <w:pPr>
        <w:spacing w:line="440" w:lineRule="exact"/>
        <w:ind w:firstLine="480" w:firstLineChars="200"/>
        <w:rPr>
          <w:rFonts w:hint="eastAsia" w:ascii="宋体" w:hAnsi="宋体"/>
          <w:sz w:val="24"/>
          <w:lang w:val="en-US" w:eastAsia="zh-CN"/>
        </w:rPr>
      </w:pPr>
      <w:r>
        <w:rPr>
          <w:rFonts w:hint="eastAsia" w:ascii="宋体" w:hAnsi="宋体"/>
          <w:sz w:val="24"/>
          <w:lang w:val="en-US" w:eastAsia="zh-CN"/>
        </w:rPr>
        <w:t>3.备课组每月一次进行形成性小练习，交换监考、流水批阅，通过数据分析发现薄弱点，及时巩固，闭环管理，开展</w:t>
      </w:r>
      <w:r>
        <w:rPr>
          <w:rFonts w:hint="eastAsia" w:asciiTheme="majorEastAsia" w:hAnsiTheme="majorEastAsia" w:eastAsiaTheme="majorEastAsia" w:cstheme="majorEastAsia"/>
          <w:bCs/>
          <w:color w:val="auto"/>
          <w:kern w:val="2"/>
          <w:sz w:val="24"/>
          <w:szCs w:val="24"/>
          <w:lang w:val="en-US" w:eastAsia="zh-CN" w:bidi="ar-SA"/>
        </w:rPr>
        <w:t>常态质量监测活动。</w:t>
      </w:r>
    </w:p>
    <w:p w14:paraId="4ABC5A02">
      <w:pPr>
        <w:widowControl/>
        <w:spacing w:line="360" w:lineRule="auto"/>
        <w:ind w:firstLine="480" w:firstLineChars="200"/>
        <w:jc w:val="left"/>
        <w:rPr>
          <w:rFonts w:hint="default"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4.学校将开展每月一次的教学自督，包括课堂教学、作业批改、班级常规等的考察，覆盖所有教师，从而帮助教师剖析教学上的不足，在自省的基础上促进教师专业发展。</w:t>
      </w:r>
    </w:p>
    <w:p w14:paraId="47EB64B1">
      <w:pPr>
        <w:widowControl/>
        <w:spacing w:line="360" w:lineRule="auto"/>
        <w:jc w:val="left"/>
        <w:rPr>
          <w:rFonts w:hint="eastAsia" w:ascii="宋体" w:hAnsi="宋体"/>
          <w:b/>
          <w:sz w:val="24"/>
        </w:rPr>
      </w:pPr>
      <w:r>
        <w:rPr>
          <w:rFonts w:hint="eastAsia" w:ascii="宋体" w:hAnsi="宋体"/>
          <w:b/>
          <w:sz w:val="24"/>
        </w:rPr>
        <w:t>（二）高质量实施</w:t>
      </w:r>
      <w:r>
        <w:rPr>
          <w:rFonts w:ascii="宋体" w:hAnsi="宋体"/>
          <w:b/>
          <w:sz w:val="24"/>
        </w:rPr>
        <w:t>课程</w:t>
      </w:r>
      <w:r>
        <w:rPr>
          <w:rFonts w:hint="eastAsia" w:ascii="宋体" w:hAnsi="宋体"/>
          <w:b/>
          <w:sz w:val="24"/>
        </w:rPr>
        <w:t>，提升研究品质</w:t>
      </w:r>
    </w:p>
    <w:p w14:paraId="1550AA29">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b/>
          <w:sz w:val="24"/>
        </w:rPr>
      </w:pPr>
      <w:r>
        <w:rPr>
          <w:rFonts w:hint="eastAsia" w:ascii="宋体" w:hAnsi="宋体"/>
          <w:b/>
          <w:sz w:val="24"/>
        </w:rPr>
        <w:t>1.课程思政融合</w:t>
      </w:r>
      <w:r>
        <w:rPr>
          <w:rFonts w:ascii="宋体" w:hAnsi="宋体"/>
          <w:b/>
          <w:sz w:val="24"/>
        </w:rPr>
        <w:t>化。</w:t>
      </w:r>
    </w:p>
    <w:p w14:paraId="7416B7E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sz w:val="24"/>
          <w:lang w:eastAsia="zh-CN"/>
        </w:rPr>
      </w:pPr>
      <w:r>
        <w:rPr>
          <w:rFonts w:hint="eastAsia" w:ascii="宋体" w:hAnsi="宋体"/>
          <w:sz w:val="24"/>
        </w:rPr>
        <w:t>本学期我们将</w:t>
      </w:r>
      <w:r>
        <w:rPr>
          <w:rFonts w:hint="eastAsia" w:ascii="宋体" w:hAnsi="宋体"/>
          <w:sz w:val="24"/>
          <w:lang w:eastAsia="zh-CN"/>
        </w:rPr>
        <w:t>立足江苏省基础教育内涵建设项目《全面育人理念下的小学课程思政教学改革》，</w:t>
      </w:r>
      <w:r>
        <w:rPr>
          <w:rFonts w:hint="eastAsia" w:ascii="宋体" w:hAnsi="宋体"/>
          <w:sz w:val="24"/>
        </w:rPr>
        <w:t>将数学与思政相融合，在</w:t>
      </w:r>
      <w:r>
        <w:rPr>
          <w:rFonts w:ascii="宋体" w:hAnsi="宋体"/>
          <w:sz w:val="24"/>
        </w:rPr>
        <w:t>数学教学中挖掘课程思政元素，落实在常态化</w:t>
      </w:r>
      <w:r>
        <w:rPr>
          <w:rFonts w:hint="eastAsia" w:ascii="宋体" w:hAnsi="宋体"/>
          <w:sz w:val="24"/>
        </w:rPr>
        <w:t>教学</w:t>
      </w:r>
      <w:r>
        <w:rPr>
          <w:rFonts w:ascii="宋体" w:hAnsi="宋体"/>
          <w:sz w:val="24"/>
        </w:rPr>
        <w:t>中，从学科教学走向学科育人。在</w:t>
      </w:r>
      <w:r>
        <w:rPr>
          <w:rFonts w:hint="eastAsia" w:ascii="宋体" w:hAnsi="宋体"/>
          <w:sz w:val="24"/>
        </w:rPr>
        <w:t>教学</w:t>
      </w:r>
      <w:r>
        <w:rPr>
          <w:rFonts w:ascii="宋体" w:hAnsi="宋体"/>
          <w:sz w:val="24"/>
        </w:rPr>
        <w:t>知识的同</w:t>
      </w:r>
      <w:r>
        <w:rPr>
          <w:rFonts w:hint="eastAsia" w:ascii="宋体" w:hAnsi="宋体"/>
          <w:sz w:val="24"/>
        </w:rPr>
        <w:t>时</w:t>
      </w:r>
      <w:r>
        <w:rPr>
          <w:rFonts w:ascii="宋体" w:hAnsi="宋体"/>
          <w:sz w:val="24"/>
        </w:rPr>
        <w:t>，注意挖掘教材的德育</w:t>
      </w:r>
      <w:r>
        <w:rPr>
          <w:rFonts w:hint="eastAsia" w:ascii="宋体" w:hAnsi="宋体"/>
          <w:sz w:val="24"/>
        </w:rPr>
        <w:t>元素</w:t>
      </w:r>
      <w:r>
        <w:rPr>
          <w:rFonts w:ascii="宋体" w:hAnsi="宋体"/>
          <w:sz w:val="24"/>
        </w:rPr>
        <w:t>，优化教学过程，引导学生悟道明理。</w:t>
      </w:r>
      <w:r>
        <w:rPr>
          <w:rFonts w:hint="eastAsia" w:ascii="宋体" w:hAnsi="宋体"/>
          <w:sz w:val="24"/>
          <w:lang w:eastAsia="zh-CN"/>
        </w:rPr>
        <w:t>我们将立足学校课程思政教学改革“四镜”课堂群，着重在“分镜”课堂中强化学科渗透，本学期每个备课组精心打造一节融合“思政”元素的教研课。</w:t>
      </w:r>
    </w:p>
    <w:p w14:paraId="0F3731BE">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b/>
          <w:sz w:val="24"/>
        </w:rPr>
      </w:pPr>
      <w:r>
        <w:rPr>
          <w:rFonts w:hint="eastAsia" w:ascii="宋体" w:hAnsi="宋体"/>
          <w:b/>
          <w:sz w:val="24"/>
        </w:rPr>
        <w:t>2</w:t>
      </w:r>
      <w:r>
        <w:rPr>
          <w:rFonts w:ascii="宋体" w:hAnsi="宋体"/>
          <w:b/>
          <w:sz w:val="24"/>
        </w:rPr>
        <w:t>.</w:t>
      </w:r>
      <w:r>
        <w:rPr>
          <w:rFonts w:hint="eastAsia" w:ascii="宋体" w:hAnsi="宋体"/>
          <w:b/>
          <w:sz w:val="24"/>
        </w:rPr>
        <w:t>教研活动序列化。</w:t>
      </w:r>
    </w:p>
    <w:p w14:paraId="22D6440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本学期华润数学组将继续开展</w:t>
      </w:r>
      <w:r>
        <w:rPr>
          <w:rFonts w:ascii="宋体" w:hAnsi="宋体"/>
          <w:sz w:val="24"/>
        </w:rPr>
        <w:t>以新课标引领的新型课堂教学形态研究</w:t>
      </w:r>
      <w:r>
        <w:rPr>
          <w:rFonts w:hint="eastAsia" w:ascii="宋体" w:hAnsi="宋体"/>
          <w:sz w:val="24"/>
        </w:rPr>
        <w:t>。</w:t>
      </w:r>
    </w:p>
    <w:p w14:paraId="6A540C3C">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确定</w:t>
      </w:r>
      <w:r>
        <w:rPr>
          <w:rFonts w:ascii="宋体" w:hAnsi="宋体"/>
          <w:sz w:val="24"/>
        </w:rPr>
        <w:t>研究主题</w:t>
      </w:r>
      <w:r>
        <w:rPr>
          <w:rFonts w:hint="eastAsia" w:ascii="宋体" w:hAnsi="宋体"/>
          <w:sz w:val="24"/>
        </w:rPr>
        <w:t>，骨干教师先行</w:t>
      </w:r>
      <w:r>
        <w:rPr>
          <w:rFonts w:hint="eastAsia" w:ascii="宋体" w:hAnsi="宋体"/>
          <w:sz w:val="24"/>
          <w:lang w:eastAsia="zh-CN"/>
        </w:rPr>
        <w:t>。本学期数学组确定以“计算教学”为研究专题，每月（</w:t>
      </w:r>
      <w:r>
        <w:rPr>
          <w:rFonts w:hint="eastAsia" w:ascii="宋体" w:hAnsi="宋体"/>
          <w:sz w:val="24"/>
          <w:lang w:val="en-US" w:eastAsia="zh-CN"/>
        </w:rPr>
        <w:t>9月、10月、12月）由骨干教师扎实开展一堂融合“思政”元素的计算教学研究课，明晰计算教学课型逻辑，</w:t>
      </w:r>
      <w:r>
        <w:rPr>
          <w:rFonts w:hint="eastAsia" w:ascii="宋体" w:hAnsi="宋体"/>
          <w:sz w:val="24"/>
        </w:rPr>
        <w:t>以辐射引领数学组更多年轻教师。</w:t>
      </w:r>
      <w:r>
        <w:rPr>
          <w:rFonts w:hint="eastAsia" w:ascii="宋体" w:hAnsi="宋体"/>
          <w:sz w:val="24"/>
          <w:lang w:eastAsia="zh-CN"/>
        </w:rPr>
        <w:t>同时，配合研究课，安排一次微型讲座，由组内教师梳理本册教材“思政”元素，进一步明晰“思政”与数学的融合。</w:t>
      </w:r>
    </w:p>
    <w:p w14:paraId="5B1AA3DA">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sz w:val="24"/>
          <w:lang w:eastAsia="zh-CN"/>
        </w:rPr>
      </w:pPr>
      <w:r>
        <w:rPr>
          <w:rFonts w:hint="eastAsia" w:ascii="宋体" w:hAnsi="宋体"/>
          <w:sz w:val="24"/>
        </w:rPr>
        <w:t>教研组切实开展每月1次的</w:t>
      </w:r>
      <w:r>
        <w:rPr>
          <w:rFonts w:hint="eastAsia" w:ascii="宋体" w:hAnsi="宋体"/>
          <w:sz w:val="24"/>
          <w:lang w:eastAsia="zh-CN"/>
        </w:rPr>
        <w:t>基本功训练活动</w:t>
      </w:r>
      <w:r>
        <w:rPr>
          <w:rFonts w:hint="eastAsia" w:ascii="宋体" w:hAnsi="宋体"/>
          <w:sz w:val="24"/>
        </w:rPr>
        <w:t>，</w:t>
      </w:r>
      <w:r>
        <w:rPr>
          <w:rFonts w:hint="eastAsia" w:ascii="宋体" w:hAnsi="宋体"/>
          <w:sz w:val="24"/>
          <w:lang w:eastAsia="zh-CN"/>
        </w:rPr>
        <w:t>分为专题训练与融合训练。专题训练由校内骨干教师组成导师团，专题指导青年教师粉笔字书写与主题演讲等。融合训练则是结合教研课，当堂随机抽取青年教师进行主题式评课。通过多种方式帮助年轻教师锤炼基本功，不断提升自身专业素养。</w:t>
      </w:r>
    </w:p>
    <w:p w14:paraId="51F10980">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sz w:val="24"/>
        </w:rPr>
      </w:pPr>
      <w:r>
        <w:rPr>
          <w:rFonts w:hint="eastAsia" w:ascii="宋体" w:hAnsi="宋体"/>
          <w:sz w:val="24"/>
        </w:rPr>
        <w:t>（3）进一步构建与素养提升匹配的学习方式养成体系，</w:t>
      </w:r>
      <w:r>
        <w:rPr>
          <w:rFonts w:hint="eastAsia" w:ascii="宋体" w:hAnsi="宋体"/>
          <w:sz w:val="24"/>
          <w:lang w:eastAsia="zh-CN"/>
        </w:rPr>
        <w:t>如邀请校内优秀教师分享课堂教学经验、作业设计经验、常规管理经验、学业质量经验等，并</w:t>
      </w:r>
      <w:r>
        <w:rPr>
          <w:rFonts w:hint="eastAsia" w:ascii="宋体" w:hAnsi="宋体"/>
          <w:sz w:val="24"/>
        </w:rPr>
        <w:t>逐渐推</w:t>
      </w:r>
      <w:r>
        <w:rPr>
          <w:rFonts w:hint="eastAsia" w:ascii="宋体" w:hAnsi="宋体"/>
          <w:sz w:val="24"/>
          <w:lang w:eastAsia="zh-CN"/>
        </w:rPr>
        <w:t>广</w:t>
      </w:r>
      <w:r>
        <w:rPr>
          <w:rFonts w:hint="eastAsia" w:ascii="宋体" w:hAnsi="宋体"/>
          <w:sz w:val="24"/>
        </w:rPr>
        <w:t>到各备课组、各个教师，聚力发力，构成一套高质量教学体系。</w:t>
      </w:r>
    </w:p>
    <w:p w14:paraId="79BD4BE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通过课堂开放活动和专家引领、自主学习，逐步形成具有华润特质的数学课堂：提出有序开放的问题、创设自主探索的时空、进行结构资源的捕捉、开展序列递进的交流、推进思维优化的反思。</w:t>
      </w:r>
    </w:p>
    <w:p w14:paraId="276462A0">
      <w:pPr>
        <w:widowControl/>
        <w:spacing w:line="360" w:lineRule="auto"/>
        <w:jc w:val="left"/>
        <w:rPr>
          <w:rFonts w:hint="eastAsia" w:ascii="宋体" w:hAnsi="宋体"/>
          <w:b/>
          <w:sz w:val="24"/>
        </w:rPr>
      </w:pPr>
      <w:r>
        <w:rPr>
          <w:rFonts w:hint="eastAsia" w:ascii="宋体" w:hAnsi="宋体"/>
          <w:b/>
          <w:sz w:val="24"/>
        </w:rPr>
        <w:t>（三）改革学业</w:t>
      </w:r>
      <w:r>
        <w:rPr>
          <w:rFonts w:ascii="宋体" w:hAnsi="宋体"/>
          <w:b/>
          <w:sz w:val="24"/>
        </w:rPr>
        <w:t>评价</w:t>
      </w:r>
      <w:r>
        <w:rPr>
          <w:rFonts w:hint="eastAsia" w:ascii="宋体" w:hAnsi="宋体"/>
          <w:b/>
          <w:sz w:val="24"/>
        </w:rPr>
        <w:t>，落实</w:t>
      </w:r>
      <w:r>
        <w:rPr>
          <w:rFonts w:ascii="宋体" w:hAnsi="宋体"/>
          <w:b/>
          <w:sz w:val="24"/>
        </w:rPr>
        <w:t>核心素养</w:t>
      </w:r>
    </w:p>
    <w:p w14:paraId="144D159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sz w:val="24"/>
        </w:rPr>
      </w:pPr>
      <w:r>
        <w:rPr>
          <w:rFonts w:ascii="宋体" w:hAnsi="宋体"/>
          <w:sz w:val="24"/>
        </w:rPr>
        <w:t>《义务教育课程方案（2022年版）》强调，要“强化素养导向，注重对正确价值观、必备品格和关键能力的考查，开展综合素质评价”。学业评价不仅是期末考核，我们应打破以往“学分制”、“一卷制”，把握学生在校的每一次表现，多元素整合学生核心素养的养成。</w:t>
      </w:r>
      <w:r>
        <w:rPr>
          <w:rFonts w:ascii="宋体" w:hAnsi="宋体"/>
          <w:sz w:val="24"/>
        </w:rPr>
        <w:br w:type="textWrapping"/>
      </w:r>
      <w:r>
        <w:rPr>
          <w:rFonts w:hint="eastAsia" w:ascii="宋体" w:hAnsi="宋体"/>
          <w:sz w:val="24"/>
          <w:lang w:val="en-US" w:eastAsia="zh-CN"/>
        </w:rPr>
        <w:t xml:space="preserve">  </w:t>
      </w:r>
      <w:r>
        <w:rPr>
          <w:rFonts w:hint="eastAsia" w:ascii="宋体" w:hAnsi="宋体"/>
          <w:sz w:val="24"/>
        </w:rPr>
        <w:t>1</w:t>
      </w:r>
      <w:r>
        <w:rPr>
          <w:rFonts w:ascii="宋体" w:hAnsi="宋体"/>
          <w:sz w:val="24"/>
        </w:rPr>
        <w:t>.评价方式多样化</w:t>
      </w:r>
      <w:r>
        <w:rPr>
          <w:rFonts w:ascii="宋体" w:hAnsi="宋体"/>
          <w:sz w:val="24"/>
        </w:rPr>
        <w:br w:type="textWrapping"/>
      </w:r>
      <w:r>
        <w:rPr>
          <w:rFonts w:hint="eastAsia" w:ascii="宋体" w:hAnsi="宋体"/>
          <w:sz w:val="24"/>
          <w:lang w:val="en-US" w:eastAsia="zh-CN"/>
        </w:rPr>
        <w:t xml:space="preserve">  </w:t>
      </w:r>
      <w:r>
        <w:rPr>
          <w:rFonts w:ascii="宋体" w:hAnsi="宋体"/>
          <w:sz w:val="24"/>
        </w:rPr>
        <w:t>学业综合评价采用期末卷面等级＋课堂评价＋社会实践成果三方面进行综合评价</w:t>
      </w:r>
      <w:r>
        <w:rPr>
          <w:rFonts w:hint="eastAsia" w:ascii="宋体" w:hAnsi="宋体"/>
          <w:sz w:val="24"/>
          <w:lang w:eastAsia="zh-CN"/>
        </w:rPr>
        <w:t>。</w:t>
      </w:r>
      <w:r>
        <w:rPr>
          <w:rFonts w:ascii="宋体" w:hAnsi="宋体"/>
          <w:sz w:val="24"/>
        </w:rPr>
        <w:t>评价应充分体现对于学生的尊重，注重学生的成长性</w:t>
      </w:r>
      <w:r>
        <w:rPr>
          <w:rFonts w:hint="eastAsia" w:ascii="宋体" w:hAnsi="宋体"/>
          <w:sz w:val="24"/>
        </w:rPr>
        <w:t>，</w:t>
      </w:r>
      <w:r>
        <w:rPr>
          <w:rFonts w:ascii="宋体" w:hAnsi="宋体"/>
          <w:sz w:val="24"/>
        </w:rPr>
        <w:t>避免“一卷式”考核。</w:t>
      </w:r>
    </w:p>
    <w:p w14:paraId="3B170325">
      <w:pPr>
        <w:widowControl/>
        <w:numPr>
          <w:ilvl w:val="0"/>
          <w:numId w:val="0"/>
        </w:numPr>
        <w:spacing w:line="360" w:lineRule="auto"/>
        <w:ind w:firstLine="240" w:firstLineChars="100"/>
        <w:jc w:val="left"/>
        <w:rPr>
          <w:rFonts w:hint="eastAsia" w:ascii="宋体" w:hAnsi="宋体"/>
          <w:sz w:val="24"/>
        </w:rPr>
      </w:pPr>
      <w:r>
        <w:rPr>
          <w:rFonts w:hint="eastAsia" w:ascii="宋体" w:hAnsi="宋体"/>
          <w:sz w:val="24"/>
          <w:lang w:val="en-US" w:eastAsia="zh-CN"/>
        </w:rPr>
        <w:t>2.</w:t>
      </w:r>
      <w:r>
        <w:rPr>
          <w:rFonts w:ascii="宋体" w:hAnsi="宋体"/>
          <w:sz w:val="24"/>
        </w:rPr>
        <w:t>评价过程动态化</w:t>
      </w:r>
      <w:r>
        <w:rPr>
          <w:rFonts w:ascii="宋体" w:hAnsi="宋体"/>
          <w:sz w:val="24"/>
        </w:rPr>
        <w:br w:type="textWrapping"/>
      </w:r>
      <w:r>
        <w:rPr>
          <w:rFonts w:ascii="宋体" w:hAnsi="宋体"/>
          <w:sz w:val="24"/>
        </w:rPr>
        <w:t> 要真正推动“双减”落地，促进学生全面发展、健康成长，对学生的学业评价就不能“一刀切”。而应充分运用增值性、发展性评价方式，对学生的学业水平进行动态跟踪，关注学生的学业成长过程</w:t>
      </w:r>
      <w:r>
        <w:rPr>
          <w:rFonts w:hint="eastAsia" w:ascii="宋体" w:hAnsi="宋体"/>
          <w:sz w:val="24"/>
        </w:rPr>
        <w:t>。如：</w:t>
      </w:r>
      <w:r>
        <w:rPr>
          <w:rFonts w:ascii="宋体" w:hAnsi="宋体"/>
          <w:sz w:val="24"/>
        </w:rPr>
        <w:t>数学可以建立</w:t>
      </w:r>
      <w:r>
        <w:rPr>
          <w:rFonts w:hint="eastAsia" w:ascii="宋体" w:hAnsi="宋体"/>
          <w:sz w:val="24"/>
        </w:rPr>
        <w:t>“口算加油站”，</w:t>
      </w:r>
      <w:r>
        <w:rPr>
          <w:rFonts w:ascii="宋体" w:hAnsi="宋体"/>
          <w:sz w:val="24"/>
        </w:rPr>
        <w:t>学生每</w:t>
      </w:r>
      <w:r>
        <w:rPr>
          <w:rFonts w:hint="eastAsia" w:ascii="宋体" w:hAnsi="宋体"/>
          <w:sz w:val="24"/>
        </w:rPr>
        <w:t>完成一份</w:t>
      </w:r>
      <w:r>
        <w:rPr>
          <w:rFonts w:ascii="宋体" w:hAnsi="宋体"/>
          <w:sz w:val="24"/>
        </w:rPr>
        <w:t>口算练习，就将</w:t>
      </w:r>
      <w:r>
        <w:rPr>
          <w:rFonts w:hint="eastAsia" w:ascii="宋体" w:hAnsi="宋体"/>
          <w:sz w:val="24"/>
        </w:rPr>
        <w:t>口算效果</w:t>
      </w:r>
      <w:r>
        <w:rPr>
          <w:rFonts w:ascii="宋体" w:hAnsi="宋体"/>
          <w:sz w:val="24"/>
        </w:rPr>
        <w:t>及</w:t>
      </w:r>
      <w:r>
        <w:rPr>
          <w:rFonts w:hint="eastAsia" w:ascii="宋体" w:hAnsi="宋体"/>
          <w:sz w:val="24"/>
        </w:rPr>
        <w:t>口算次数</w:t>
      </w:r>
      <w:r>
        <w:rPr>
          <w:rFonts w:ascii="宋体" w:hAnsi="宋体"/>
          <w:sz w:val="24"/>
        </w:rPr>
        <w:t>计入“</w:t>
      </w:r>
      <w:r>
        <w:rPr>
          <w:rFonts w:hint="eastAsia" w:ascii="宋体" w:hAnsi="宋体"/>
          <w:sz w:val="24"/>
        </w:rPr>
        <w:t>口算加油站</w:t>
      </w:r>
      <w:r>
        <w:rPr>
          <w:rFonts w:ascii="宋体" w:hAnsi="宋体"/>
          <w:sz w:val="24"/>
        </w:rPr>
        <w:t>”，学期结束时对学生的</w:t>
      </w:r>
      <w:r>
        <w:rPr>
          <w:rFonts w:hint="eastAsia" w:ascii="宋体" w:hAnsi="宋体"/>
          <w:sz w:val="24"/>
        </w:rPr>
        <w:t>口算</w:t>
      </w:r>
      <w:r>
        <w:rPr>
          <w:rFonts w:ascii="宋体" w:hAnsi="宋体"/>
          <w:sz w:val="24"/>
        </w:rPr>
        <w:t>总量进行统计，</w:t>
      </w:r>
      <w:r>
        <w:rPr>
          <w:rFonts w:hint="eastAsia" w:ascii="宋体" w:hAnsi="宋体"/>
          <w:sz w:val="24"/>
        </w:rPr>
        <w:t>作为</w:t>
      </w:r>
      <w:r>
        <w:rPr>
          <w:rFonts w:ascii="宋体" w:hAnsi="宋体"/>
          <w:sz w:val="24"/>
        </w:rPr>
        <w:t>期末学业评价的重要组成部分。这样的动态评价形式更有利于学生养成良好的</w:t>
      </w:r>
      <w:r>
        <w:rPr>
          <w:rFonts w:hint="eastAsia" w:ascii="宋体" w:hAnsi="宋体"/>
          <w:sz w:val="24"/>
        </w:rPr>
        <w:t>口算</w:t>
      </w:r>
      <w:r>
        <w:rPr>
          <w:rFonts w:ascii="宋体" w:hAnsi="宋体"/>
          <w:sz w:val="24"/>
        </w:rPr>
        <w:t>习惯</w:t>
      </w:r>
      <w:r>
        <w:rPr>
          <w:rFonts w:hint="eastAsia" w:ascii="宋体" w:hAnsi="宋体"/>
          <w:sz w:val="24"/>
        </w:rPr>
        <w:t>、</w:t>
      </w:r>
      <w:r>
        <w:rPr>
          <w:rFonts w:ascii="宋体" w:hAnsi="宋体"/>
          <w:sz w:val="24"/>
        </w:rPr>
        <w:t>提升口算能力。</w:t>
      </w:r>
    </w:p>
    <w:p w14:paraId="0941DC1A">
      <w:pPr>
        <w:widowControl/>
        <w:spacing w:line="360" w:lineRule="auto"/>
        <w:jc w:val="left"/>
        <w:rPr>
          <w:rFonts w:hint="eastAsia" w:ascii="宋体" w:hAnsi="宋体"/>
          <w:b/>
          <w:sz w:val="24"/>
        </w:rPr>
      </w:pPr>
      <w:r>
        <w:rPr>
          <w:rFonts w:hint="eastAsia" w:ascii="宋体" w:hAnsi="宋体"/>
          <w:b/>
          <w:sz w:val="24"/>
        </w:rPr>
        <w:t>（四）搭建平台</w:t>
      </w:r>
      <w:r>
        <w:rPr>
          <w:rFonts w:ascii="宋体" w:hAnsi="宋体"/>
          <w:b/>
          <w:sz w:val="24"/>
        </w:rPr>
        <w:t>，赋能教</w:t>
      </w:r>
      <w:r>
        <w:rPr>
          <w:rFonts w:hint="eastAsia" w:ascii="宋体" w:hAnsi="宋体"/>
          <w:b/>
          <w:sz w:val="24"/>
        </w:rPr>
        <w:t>师成长</w:t>
      </w:r>
    </w:p>
    <w:p w14:paraId="0F752E0E">
      <w:pPr>
        <w:widowControl/>
        <w:spacing w:line="360" w:lineRule="auto"/>
        <w:ind w:firstLine="480" w:firstLineChars="200"/>
        <w:jc w:val="left"/>
        <w:rPr>
          <w:rFonts w:ascii="宋体" w:hAnsi="宋体"/>
          <w:sz w:val="24"/>
        </w:rPr>
      </w:pPr>
      <w:r>
        <w:rPr>
          <w:rFonts w:ascii="宋体" w:hAnsi="宋体"/>
          <w:sz w:val="24"/>
        </w:rPr>
        <w:t>1.</w:t>
      </w:r>
      <w:r>
        <w:rPr>
          <w:rFonts w:hint="eastAsia" w:ascii="宋体" w:hAnsi="宋体"/>
          <w:sz w:val="24"/>
        </w:rPr>
        <w:t>日常训练</w:t>
      </w:r>
    </w:p>
    <w:p w14:paraId="7931DD8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继续</w:t>
      </w:r>
      <w:r>
        <w:rPr>
          <w:rFonts w:ascii="宋体" w:hAnsi="宋体"/>
          <w:sz w:val="24"/>
        </w:rPr>
        <w:t>开展</w:t>
      </w:r>
      <w:r>
        <w:rPr>
          <w:rFonts w:hint="eastAsia" w:ascii="宋体" w:hAnsi="宋体"/>
          <w:sz w:val="24"/>
        </w:rPr>
        <w:t>日常</w:t>
      </w:r>
      <w:r>
        <w:rPr>
          <w:rFonts w:ascii="宋体" w:hAnsi="宋体"/>
          <w:sz w:val="24"/>
        </w:rPr>
        <w:t>教学研讨</w:t>
      </w:r>
      <w:r>
        <w:rPr>
          <w:rFonts w:hint="eastAsia" w:ascii="宋体" w:hAnsi="宋体"/>
          <w:sz w:val="24"/>
        </w:rPr>
        <w:t>和</w:t>
      </w:r>
      <w:r>
        <w:rPr>
          <w:rFonts w:ascii="宋体" w:hAnsi="宋体"/>
          <w:sz w:val="24"/>
        </w:rPr>
        <w:t>基本功训练打卡，促进教师教学水平的提升和</w:t>
      </w:r>
      <w:r>
        <w:rPr>
          <w:rFonts w:hint="eastAsia" w:ascii="宋体" w:hAnsi="宋体"/>
          <w:sz w:val="24"/>
        </w:rPr>
        <w:t>锤炼</w:t>
      </w:r>
      <w:r>
        <w:rPr>
          <w:rFonts w:ascii="宋体" w:hAnsi="宋体"/>
          <w:sz w:val="24"/>
        </w:rPr>
        <w:t>教师基本功。</w:t>
      </w:r>
    </w:p>
    <w:p w14:paraId="663F9013">
      <w:pPr>
        <w:widowControl/>
        <w:spacing w:line="360" w:lineRule="auto"/>
        <w:ind w:firstLine="480" w:firstLineChars="200"/>
        <w:jc w:val="left"/>
        <w:rPr>
          <w:rFonts w:hint="eastAsia" w:ascii="宋体" w:hAnsi="宋体"/>
          <w:sz w:val="24"/>
        </w:rPr>
      </w:pPr>
      <w:r>
        <w:rPr>
          <w:rFonts w:hint="eastAsia" w:ascii="宋体" w:hAnsi="宋体"/>
          <w:sz w:val="24"/>
        </w:rPr>
        <w:t>2.平台</w:t>
      </w:r>
      <w:r>
        <w:rPr>
          <w:rFonts w:ascii="宋体" w:hAnsi="宋体"/>
          <w:sz w:val="24"/>
        </w:rPr>
        <w:t>搭建</w:t>
      </w:r>
    </w:p>
    <w:p w14:paraId="665C399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积极</w:t>
      </w:r>
      <w:r>
        <w:rPr>
          <w:rFonts w:ascii="宋体" w:hAnsi="宋体"/>
          <w:sz w:val="24"/>
        </w:rPr>
        <w:t>为教师发展搭建多样化平台，</w:t>
      </w:r>
      <w:r>
        <w:rPr>
          <w:rFonts w:hint="eastAsia" w:ascii="宋体" w:hAnsi="宋体"/>
          <w:sz w:val="24"/>
        </w:rPr>
        <w:t>通过</w:t>
      </w:r>
      <w:r>
        <w:rPr>
          <w:rFonts w:ascii="宋体" w:hAnsi="宋体"/>
          <w:sz w:val="24"/>
        </w:rPr>
        <w:t>教研组系统筹划教研活动</w:t>
      </w:r>
      <w:r>
        <w:rPr>
          <w:rFonts w:hint="eastAsia" w:ascii="宋体" w:hAnsi="宋体"/>
          <w:sz w:val="24"/>
        </w:rPr>
        <w:t>、</w:t>
      </w:r>
      <w:r>
        <w:rPr>
          <w:rFonts w:ascii="宋体" w:hAnsi="宋体"/>
          <w:sz w:val="24"/>
        </w:rPr>
        <w:t>备课组集中研讨</w:t>
      </w:r>
      <w:r>
        <w:rPr>
          <w:rFonts w:hint="eastAsia" w:ascii="宋体" w:hAnsi="宋体"/>
          <w:sz w:val="24"/>
        </w:rPr>
        <w:t>、</w:t>
      </w:r>
      <w:r>
        <w:rPr>
          <w:rFonts w:ascii="宋体" w:hAnsi="宋体"/>
          <w:sz w:val="24"/>
        </w:rPr>
        <w:t>本部宝藏老师引领和</w:t>
      </w:r>
      <w:r>
        <w:rPr>
          <w:rFonts w:hint="eastAsia" w:ascii="宋体" w:hAnsi="宋体"/>
          <w:sz w:val="24"/>
        </w:rPr>
        <w:t>市</w:t>
      </w:r>
      <w:r>
        <w:rPr>
          <w:rFonts w:ascii="宋体" w:hAnsi="宋体"/>
          <w:sz w:val="24"/>
        </w:rPr>
        <w:t>、区专家指导</w:t>
      </w:r>
      <w:r>
        <w:rPr>
          <w:rFonts w:hint="eastAsia" w:ascii="宋体" w:hAnsi="宋体"/>
          <w:sz w:val="24"/>
        </w:rPr>
        <w:t>，促进教师专业更好</w:t>
      </w:r>
      <w:r>
        <w:rPr>
          <w:rFonts w:ascii="宋体" w:hAnsi="宋体"/>
          <w:sz w:val="24"/>
        </w:rPr>
        <w:t>更快地</w:t>
      </w:r>
      <w:r>
        <w:rPr>
          <w:rFonts w:hint="eastAsia" w:ascii="宋体" w:hAnsi="宋体"/>
          <w:sz w:val="24"/>
        </w:rPr>
        <w:t>发展。</w:t>
      </w:r>
    </w:p>
    <w:p w14:paraId="7705C5E4">
      <w:pPr>
        <w:spacing w:line="360" w:lineRule="auto"/>
        <w:ind w:firstLine="480" w:firstLineChars="200"/>
        <w:rPr>
          <w:rFonts w:hint="eastAsia" w:ascii="宋体" w:hAnsi="宋体"/>
          <w:sz w:val="24"/>
        </w:rPr>
      </w:pPr>
      <w:r>
        <w:rPr>
          <w:rFonts w:hint="eastAsia" w:ascii="宋体" w:hAnsi="宋体"/>
          <w:sz w:val="24"/>
        </w:rPr>
        <w:t>3.赛点研磨</w:t>
      </w:r>
    </w:p>
    <w:p w14:paraId="6A5A9325">
      <w:pPr>
        <w:widowControl/>
        <w:spacing w:line="360" w:lineRule="auto"/>
        <w:ind w:firstLine="480" w:firstLineChars="200"/>
        <w:jc w:val="left"/>
        <w:rPr>
          <w:rFonts w:hint="eastAsia" w:ascii="宋体" w:hAnsi="宋体"/>
          <w:sz w:val="24"/>
        </w:rPr>
      </w:pPr>
      <w:r>
        <w:rPr>
          <w:rFonts w:hint="eastAsia" w:ascii="宋体" w:hAnsi="宋体"/>
          <w:color w:val="000000" w:themeColor="text1"/>
          <w:sz w:val="24"/>
          <w14:textFill>
            <w14:solidFill>
              <w14:schemeClr w14:val="tx1"/>
            </w14:solidFill>
          </w14:textFill>
        </w:rPr>
        <w:t>通过区评优课节点赛程序列培训，</w:t>
      </w:r>
      <w:r>
        <w:rPr>
          <w:rFonts w:hint="eastAsia" w:ascii="宋体" w:hAnsi="宋体"/>
          <w:sz w:val="24"/>
        </w:rPr>
        <w:t>以赛促练，以练促赛，形成良性循环机制。以团队打开格局，以节点化修炼真格，整体为数学教研组赋能。将比赛项目与日常教研活动相整合，抓住每一次节点赛事，重点发展培养潜力教师。</w:t>
      </w:r>
    </w:p>
    <w:p w14:paraId="19932783">
      <w:pPr>
        <w:widowControl/>
        <w:spacing w:line="360" w:lineRule="auto"/>
        <w:jc w:val="left"/>
        <w:rPr>
          <w:rFonts w:hint="eastAsia" w:ascii="宋体" w:hAnsi="宋体"/>
          <w:b/>
          <w:sz w:val="24"/>
        </w:rPr>
      </w:pPr>
      <w:r>
        <w:rPr>
          <w:rFonts w:hint="eastAsia" w:ascii="宋体" w:hAnsi="宋体"/>
          <w:b/>
          <w:sz w:val="24"/>
        </w:rPr>
        <w:t>（五）提升</w:t>
      </w:r>
      <w:r>
        <w:rPr>
          <w:rFonts w:ascii="宋体" w:hAnsi="宋体"/>
          <w:b/>
          <w:sz w:val="24"/>
        </w:rPr>
        <w:t>学业质量，</w:t>
      </w:r>
      <w:r>
        <w:rPr>
          <w:rFonts w:hint="eastAsia" w:ascii="宋体" w:hAnsi="宋体"/>
          <w:b/>
          <w:sz w:val="24"/>
        </w:rPr>
        <w:t>发挥</w:t>
      </w:r>
      <w:r>
        <w:rPr>
          <w:rFonts w:ascii="宋体" w:hAnsi="宋体"/>
          <w:b/>
          <w:sz w:val="24"/>
        </w:rPr>
        <w:t>育人</w:t>
      </w:r>
      <w:r>
        <w:rPr>
          <w:rFonts w:hint="eastAsia" w:ascii="宋体" w:hAnsi="宋体"/>
          <w:b/>
          <w:sz w:val="24"/>
        </w:rPr>
        <w:t>价值</w:t>
      </w:r>
    </w:p>
    <w:p w14:paraId="2E439470">
      <w:pPr>
        <w:widowControl/>
        <w:spacing w:line="360" w:lineRule="auto"/>
        <w:ind w:firstLine="240" w:firstLineChars="100"/>
        <w:jc w:val="left"/>
        <w:rPr>
          <w:rFonts w:ascii="宋体" w:hAnsi="宋体"/>
          <w:sz w:val="24"/>
        </w:rPr>
      </w:pPr>
      <w:r>
        <w:rPr>
          <w:rFonts w:ascii="宋体" w:hAnsi="宋体"/>
          <w:sz w:val="24"/>
        </w:rPr>
        <w:t>1</w:t>
      </w:r>
      <w:r>
        <w:rPr>
          <w:rFonts w:hint="eastAsia" w:ascii="宋体" w:hAnsi="宋体"/>
          <w:sz w:val="24"/>
        </w:rPr>
        <w:t>.作业</w:t>
      </w:r>
      <w:r>
        <w:rPr>
          <w:rFonts w:ascii="宋体" w:hAnsi="宋体"/>
          <w:sz w:val="24"/>
        </w:rPr>
        <w:t>设计</w:t>
      </w:r>
      <w:r>
        <w:rPr>
          <w:rFonts w:hint="eastAsia" w:ascii="宋体" w:hAnsi="宋体"/>
          <w:sz w:val="24"/>
        </w:rPr>
        <w:t>整体化</w:t>
      </w:r>
      <w:r>
        <w:rPr>
          <w:rFonts w:ascii="宋体" w:hAnsi="宋体"/>
          <w:sz w:val="24"/>
        </w:rPr>
        <w:t>。</w:t>
      </w:r>
    </w:p>
    <w:p w14:paraId="20817308">
      <w:pPr>
        <w:spacing w:line="360" w:lineRule="auto"/>
        <w:rPr>
          <w:rFonts w:hint="eastAsia" w:ascii="宋体" w:hAnsi="宋体"/>
          <w:sz w:val="24"/>
        </w:rPr>
      </w:pPr>
      <w:r>
        <w:rPr>
          <w:rFonts w:ascii="宋体" w:hAnsi="宋体"/>
          <w:sz w:val="24"/>
        </w:rPr>
        <w:drawing>
          <wp:anchor distT="0" distB="0" distL="0" distR="0" simplePos="0" relativeHeight="251659264" behindDoc="0" locked="0" layoutInCell="1" allowOverlap="1">
            <wp:simplePos x="0" y="0"/>
            <wp:positionH relativeFrom="column">
              <wp:posOffset>1670685</wp:posOffset>
            </wp:positionH>
            <wp:positionV relativeFrom="paragraph">
              <wp:posOffset>639445</wp:posOffset>
            </wp:positionV>
            <wp:extent cx="4418330" cy="1986915"/>
            <wp:effectExtent l="0" t="0" r="0" b="0"/>
            <wp:wrapTight wrapText="bothSides">
              <wp:wrapPolygon>
                <wp:start x="0" y="0"/>
                <wp:lineTo x="0" y="21331"/>
                <wp:lineTo x="21513" y="21331"/>
                <wp:lineTo x="21513" y="0"/>
                <wp:lineTo x="0" y="0"/>
              </wp:wrapPolygon>
            </wp:wrapTight>
            <wp:docPr id="1" name="_x0000_s1027"/>
            <wp:cNvGraphicFramePr/>
            <a:graphic xmlns:a="http://schemas.openxmlformats.org/drawingml/2006/main">
              <a:graphicData uri="http://schemas.openxmlformats.org/drawingml/2006/picture">
                <pic:pic xmlns:pic="http://schemas.openxmlformats.org/drawingml/2006/picture">
                  <pic:nvPicPr>
                    <pic:cNvPr id="1" name="_x0000_s1027"/>
                    <pic:cNvPicPr/>
                  </pic:nvPicPr>
                  <pic:blipFill>
                    <a:blip r:embed="rId4"/>
                    <a:srcRect t="2438" b="3012"/>
                    <a:stretch>
                      <a:fillRect/>
                    </a:stretch>
                  </pic:blipFill>
                  <pic:spPr>
                    <a:xfrm>
                      <a:off x="0" y="0"/>
                      <a:ext cx="4418330" cy="1986915"/>
                    </a:xfrm>
                    <a:prstGeom prst="rect">
                      <a:avLst/>
                    </a:prstGeom>
                  </pic:spPr>
                </pic:pic>
              </a:graphicData>
            </a:graphic>
          </wp:anchor>
        </w:drawing>
      </w:r>
      <w:r>
        <w:rPr>
          <w:rFonts w:hint="eastAsia" w:ascii="宋体" w:hAnsi="宋体"/>
          <w:sz w:val="24"/>
        </w:rPr>
        <w:t xml:space="preserve">  我们</w:t>
      </w:r>
      <w:r>
        <w:rPr>
          <w:rFonts w:ascii="宋体" w:hAnsi="宋体"/>
          <w:sz w:val="24"/>
        </w:rPr>
        <w:t>将</w:t>
      </w:r>
      <w:r>
        <w:rPr>
          <w:rFonts w:hint="eastAsia" w:ascii="宋体" w:hAnsi="宋体"/>
          <w:sz w:val="24"/>
        </w:rPr>
        <w:t>基于单元整体教学目标一体化进行常态化、整体化、结构化</w:t>
      </w:r>
      <w:r>
        <w:rPr>
          <w:rFonts w:ascii="宋体" w:hAnsi="宋体"/>
          <w:sz w:val="24"/>
        </w:rPr>
        <w:t>的</w:t>
      </w:r>
      <w:r>
        <w:rPr>
          <w:rFonts w:hint="eastAsia" w:ascii="宋体" w:hAnsi="宋体"/>
          <w:sz w:val="24"/>
        </w:rPr>
        <w:t>作业设计。将单元作业设计前置，使之成为单元教学设计中的重要一环，实现作业设计优于教学设计。努力</w:t>
      </w:r>
      <w:r>
        <w:rPr>
          <w:rFonts w:ascii="宋体" w:hAnsi="宋体"/>
          <w:sz w:val="24"/>
        </w:rPr>
        <w:t>形成生长式作业设计（</w:t>
      </w:r>
      <w:r>
        <w:rPr>
          <w:rFonts w:hint="eastAsia" w:ascii="宋体" w:hAnsi="宋体"/>
          <w:sz w:val="24"/>
        </w:rPr>
        <w:t>如图</w:t>
      </w:r>
      <w:r>
        <w:rPr>
          <w:rFonts w:ascii="宋体" w:hAnsi="宋体"/>
          <w:sz w:val="24"/>
        </w:rPr>
        <w:t>）</w:t>
      </w:r>
    </w:p>
    <w:p w14:paraId="14968DEA">
      <w:pPr>
        <w:spacing w:line="360" w:lineRule="auto"/>
        <w:rPr>
          <w:rFonts w:ascii="宋体" w:hAnsi="宋体"/>
          <w:sz w:val="24"/>
        </w:rPr>
      </w:pPr>
    </w:p>
    <w:p w14:paraId="738FFA1C">
      <w:pPr>
        <w:spacing w:line="360" w:lineRule="auto"/>
        <w:rPr>
          <w:rFonts w:ascii="宋体" w:hAnsi="宋体"/>
          <w:sz w:val="24"/>
        </w:rPr>
      </w:pPr>
    </w:p>
    <w:p w14:paraId="7577F6FD">
      <w:pPr>
        <w:spacing w:line="360" w:lineRule="auto"/>
        <w:rPr>
          <w:rFonts w:ascii="宋体" w:hAnsi="宋体"/>
          <w:sz w:val="24"/>
        </w:rPr>
      </w:pPr>
    </w:p>
    <w:p w14:paraId="479C0647">
      <w:pPr>
        <w:spacing w:line="360" w:lineRule="auto"/>
        <w:rPr>
          <w:rFonts w:ascii="宋体" w:hAnsi="宋体"/>
          <w:sz w:val="24"/>
        </w:rPr>
      </w:pPr>
    </w:p>
    <w:p w14:paraId="51D74AD0">
      <w:pPr>
        <w:spacing w:line="360" w:lineRule="auto"/>
        <w:rPr>
          <w:rFonts w:ascii="宋体" w:hAnsi="宋体"/>
          <w:sz w:val="24"/>
        </w:rPr>
      </w:pPr>
    </w:p>
    <w:p w14:paraId="4ADF1D0A">
      <w:pPr>
        <w:spacing w:line="360" w:lineRule="auto"/>
        <w:rPr>
          <w:rFonts w:ascii="宋体" w:hAnsi="宋体"/>
          <w:sz w:val="24"/>
        </w:rPr>
      </w:pPr>
    </w:p>
    <w:p w14:paraId="4E963B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继续分备课组组织开展“创新型作业设计”活动，结合学生年龄特点和学习进度，设计融合性、开放性、探究性数学作业，不断促进学生思考力和创新力。并对周期性</w:t>
      </w:r>
      <w:r>
        <w:rPr>
          <w:rFonts w:ascii="宋体" w:hAnsi="宋体"/>
          <w:sz w:val="24"/>
        </w:rPr>
        <w:t>的创新作业</w:t>
      </w:r>
      <w:r>
        <w:rPr>
          <w:rFonts w:hint="eastAsia" w:ascii="宋体" w:hAnsi="宋体"/>
          <w:sz w:val="24"/>
        </w:rPr>
        <w:t>进行及时整理、记录、分析，</w:t>
      </w:r>
      <w:r>
        <w:rPr>
          <w:rFonts w:ascii="宋体" w:hAnsi="宋体"/>
          <w:sz w:val="24"/>
        </w:rPr>
        <w:t>作为期末学业评价的重要组成部分。</w:t>
      </w:r>
      <w:r>
        <w:rPr>
          <w:rFonts w:hint="eastAsia" w:ascii="宋体" w:hAnsi="宋体"/>
          <w:sz w:val="24"/>
        </w:rPr>
        <w:t>创新多元评价体系，激发学生的学习兴趣。</w:t>
      </w:r>
    </w:p>
    <w:p w14:paraId="41A8B7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D0D0D" w:themeColor="text1" w:themeTint="F2"/>
          <w:sz w:val="24"/>
          <w14:textFill>
            <w14:solidFill>
              <w14:schemeClr w14:val="tx1">
                <w14:lumMod w14:val="95000"/>
                <w14:lumOff w14:val="5000"/>
              </w14:schemeClr>
            </w14:solidFill>
          </w14:textFill>
        </w:rPr>
      </w:pPr>
      <w:r>
        <w:rPr>
          <w:rFonts w:hint="eastAsia" w:asciiTheme="majorEastAsia" w:hAnsiTheme="majorEastAsia" w:eastAsiaTheme="majorEastAsia" w:cstheme="majorEastAsia"/>
          <w:bCs/>
          <w:color w:val="auto"/>
          <w:kern w:val="2"/>
          <w:sz w:val="24"/>
          <w:szCs w:val="24"/>
          <w:lang w:val="en-US" w:eastAsia="zh-CN" w:bidi="ar-SA"/>
        </w:rPr>
        <w:t>同时，学校继续做好校本命题研究及教师能力提升工作，围绕数学抽象、逻辑推理、直观想象、数学运算、数学建模和数据分析六大学科核心素养，</w:t>
      </w:r>
      <w:r>
        <w:rPr>
          <w:rFonts w:hint="eastAsia" w:asciiTheme="majorEastAsia" w:hAnsiTheme="majorEastAsia" w:eastAsiaTheme="majorEastAsia" w:cstheme="majorEastAsia"/>
          <w:bCs/>
          <w:color w:val="0D0D0D" w:themeColor="text1" w:themeTint="F2"/>
          <w:kern w:val="2"/>
          <w:sz w:val="24"/>
          <w:szCs w:val="24"/>
          <w:lang w:val="en-US" w:eastAsia="zh-CN" w:bidi="ar-SA"/>
          <w14:textFill>
            <w14:solidFill>
              <w14:schemeClr w14:val="tx1">
                <w14:lumMod w14:val="95000"/>
                <w14:lumOff w14:val="5000"/>
              </w14:schemeClr>
            </w14:solidFill>
          </w14:textFill>
        </w:rPr>
        <w:t>组织开展作业设计和命题设计研究工作。</w:t>
      </w:r>
    </w:p>
    <w:p w14:paraId="4E04C25C">
      <w:pPr>
        <w:spacing w:line="360" w:lineRule="auto"/>
        <w:ind w:firstLine="480" w:firstLineChars="200"/>
        <w:rPr>
          <w:rFonts w:hint="eastAsia" w:ascii="宋体" w:hAnsi="宋体"/>
          <w:sz w:val="24"/>
        </w:rPr>
      </w:pPr>
      <w:r>
        <w:rPr>
          <w:rFonts w:hint="eastAsia" w:ascii="宋体" w:hAnsi="宋体"/>
          <w:sz w:val="24"/>
        </w:rPr>
        <w:t>2</w:t>
      </w:r>
      <w:r>
        <w:rPr>
          <w:rFonts w:ascii="宋体" w:hAnsi="宋体"/>
          <w:sz w:val="24"/>
        </w:rPr>
        <w:t>.</w:t>
      </w:r>
      <w:r>
        <w:rPr>
          <w:rFonts w:hint="eastAsia" w:ascii="宋体" w:hAnsi="宋体"/>
          <w:sz w:val="24"/>
        </w:rPr>
        <w:t xml:space="preserve"> 学业质量提升</w:t>
      </w:r>
      <w:r>
        <w:rPr>
          <w:rFonts w:ascii="宋体" w:hAnsi="宋体"/>
          <w:sz w:val="24"/>
        </w:rPr>
        <w:t>日常</w:t>
      </w:r>
      <w:r>
        <w:rPr>
          <w:rFonts w:hint="eastAsia" w:ascii="宋体" w:hAnsi="宋体"/>
          <w:sz w:val="24"/>
        </w:rPr>
        <w:t>化</w:t>
      </w:r>
      <w:r>
        <w:rPr>
          <w:rFonts w:ascii="宋体" w:hAnsi="宋体"/>
          <w:sz w:val="24"/>
        </w:rPr>
        <w:t>。</w:t>
      </w:r>
    </w:p>
    <w:p w14:paraId="77B502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本学期华润数学组将</w:t>
      </w:r>
      <w:r>
        <w:rPr>
          <w:rFonts w:hint="eastAsia" w:ascii="宋体" w:hAnsi="宋体"/>
          <w:sz w:val="24"/>
          <w:lang w:eastAsia="zh-CN"/>
        </w:rPr>
        <w:t>继续</w:t>
      </w:r>
      <w:r>
        <w:rPr>
          <w:rFonts w:hint="eastAsia" w:ascii="宋体" w:hAnsi="宋体"/>
          <w:sz w:val="24"/>
        </w:rPr>
        <w:t>积极提升</w:t>
      </w:r>
      <w:r>
        <w:rPr>
          <w:rFonts w:ascii="宋体" w:hAnsi="宋体"/>
          <w:sz w:val="24"/>
        </w:rPr>
        <w:t>学生学业质量。</w:t>
      </w:r>
      <w:r>
        <w:rPr>
          <w:rFonts w:hint="eastAsia" w:ascii="宋体" w:hAnsi="宋体"/>
          <w:sz w:val="24"/>
        </w:rPr>
        <w:t>期初</w:t>
      </w:r>
      <w:r>
        <w:rPr>
          <w:rFonts w:ascii="宋体" w:hAnsi="宋体"/>
          <w:sz w:val="24"/>
        </w:rPr>
        <w:t>教研组和备课组要</w:t>
      </w:r>
      <w:r>
        <w:rPr>
          <w:rFonts w:hint="eastAsia" w:ascii="宋体" w:hAnsi="宋体"/>
          <w:sz w:val="24"/>
        </w:rPr>
        <w:t>认真</w:t>
      </w:r>
      <w:r>
        <w:rPr>
          <w:rFonts w:hint="eastAsia" w:ascii="宋体" w:hAnsi="宋体"/>
          <w:sz w:val="24"/>
          <w:lang w:eastAsia="zh-CN"/>
        </w:rPr>
        <w:t>学习</w:t>
      </w:r>
      <w:r>
        <w:rPr>
          <w:rFonts w:hint="eastAsia" w:ascii="宋体" w:hAnsi="宋体" w:eastAsia="宋体" w:cs="宋体"/>
          <w:bCs/>
          <w:color w:val="auto"/>
          <w:kern w:val="2"/>
          <w:sz w:val="24"/>
          <w:szCs w:val="24"/>
          <w:lang w:val="en-US" w:eastAsia="zh-CN" w:bidi="ar-SA"/>
        </w:rPr>
        <w:t>区、市学业质量分析反馈，进一步明确问题，改进教学，</w:t>
      </w:r>
      <w:r>
        <w:rPr>
          <w:rFonts w:hint="eastAsia" w:ascii="宋体" w:hAnsi="宋体"/>
          <w:sz w:val="24"/>
        </w:rPr>
        <w:t>把握方向。根据以往的</w:t>
      </w:r>
      <w:r>
        <w:rPr>
          <w:rFonts w:hint="eastAsia" w:ascii="宋体" w:hAnsi="宋体"/>
          <w:sz w:val="24"/>
          <w:lang w:eastAsia="zh-CN"/>
        </w:rPr>
        <w:t>区、市学业质量</w:t>
      </w:r>
      <w:r>
        <w:rPr>
          <w:rFonts w:hint="eastAsia" w:ascii="宋体" w:hAnsi="宋体"/>
          <w:sz w:val="24"/>
        </w:rPr>
        <w:t>检测卷，积极做好应对措施，</w:t>
      </w:r>
      <w:r>
        <w:rPr>
          <w:rFonts w:ascii="宋体" w:hAnsi="宋体"/>
          <w:sz w:val="24"/>
        </w:rPr>
        <w:t>采用摘星作业的形式周周练，</w:t>
      </w:r>
      <w:r>
        <w:rPr>
          <w:rFonts w:hint="eastAsia" w:ascii="宋体" w:hAnsi="宋体"/>
          <w:sz w:val="24"/>
        </w:rPr>
        <w:t>夯实基础的</w:t>
      </w:r>
      <w:r>
        <w:rPr>
          <w:rFonts w:ascii="宋体" w:hAnsi="宋体"/>
          <w:sz w:val="24"/>
        </w:rPr>
        <w:t>同时拓展思维。</w:t>
      </w:r>
      <w:r>
        <w:rPr>
          <w:rFonts w:hint="eastAsia" w:ascii="宋体" w:hAnsi="宋体"/>
          <w:sz w:val="24"/>
          <w:lang w:eastAsia="zh-CN"/>
        </w:rPr>
        <w:t>同时，学校继续深入开展“提优”工作，选拔组内优秀教师领航，并做好“提优”学生长程学业质量跟踪，做好</w:t>
      </w:r>
      <w:r>
        <w:rPr>
          <w:rFonts w:hint="eastAsia" w:asciiTheme="majorEastAsia" w:hAnsiTheme="majorEastAsia" w:eastAsiaTheme="majorEastAsia" w:cstheme="majorEastAsia"/>
          <w:bCs/>
          <w:color w:val="0D0D0D" w:themeColor="text1" w:themeTint="F2"/>
          <w:kern w:val="2"/>
          <w:sz w:val="24"/>
          <w:szCs w:val="24"/>
          <w:lang w:val="en-US" w:eastAsia="zh-CN" w:bidi="ar-SA"/>
          <w14:textFill>
            <w14:solidFill>
              <w14:schemeClr w14:val="tx1">
                <w14:lumMod w14:val="95000"/>
                <w14:lumOff w14:val="5000"/>
              </w14:schemeClr>
            </w14:solidFill>
          </w14:textFill>
        </w:rPr>
        <w:t>创新拔尖人才培养活动。</w:t>
      </w:r>
    </w:p>
    <w:p w14:paraId="79FBAE3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通过</w:t>
      </w:r>
      <w:r>
        <w:rPr>
          <w:rFonts w:ascii="宋体" w:hAnsi="宋体"/>
          <w:sz w:val="24"/>
        </w:rPr>
        <w:t>以上</w:t>
      </w:r>
      <w:r>
        <w:rPr>
          <w:rFonts w:hint="eastAsia" w:ascii="宋体" w:hAnsi="宋体"/>
          <w:sz w:val="24"/>
        </w:rPr>
        <w:t>系列</w:t>
      </w:r>
      <w:r>
        <w:rPr>
          <w:rFonts w:ascii="宋体" w:hAnsi="宋体"/>
          <w:sz w:val="24"/>
        </w:rPr>
        <w:t>工作，</w:t>
      </w:r>
      <w:r>
        <w:rPr>
          <w:rFonts w:hint="eastAsia" w:ascii="宋体" w:hAnsi="宋体"/>
          <w:sz w:val="24"/>
        </w:rPr>
        <w:t>充分挖掘学科育人价值，逐步形成华润数学学科特色。</w:t>
      </w:r>
    </w:p>
    <w:p w14:paraId="7DFAF2F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p>
    <w:p w14:paraId="2427674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p>
    <w:p w14:paraId="54969613">
      <w:pPr>
        <w:spacing w:before="156" w:after="156" w:line="360" w:lineRule="auto"/>
        <w:jc w:val="left"/>
        <w:rPr>
          <w:rFonts w:hint="eastAsia" w:ascii="宋体" w:hAnsi="宋体"/>
          <w:b/>
          <w:sz w:val="24"/>
        </w:rPr>
      </w:pPr>
      <w:r>
        <w:rPr>
          <w:rFonts w:hint="eastAsia" w:ascii="宋体" w:hAnsi="宋体"/>
          <w:b/>
          <w:sz w:val="24"/>
        </w:rPr>
        <w:t>五、具体安排</w:t>
      </w:r>
    </w:p>
    <w:p w14:paraId="4B9E4933">
      <w:pPr>
        <w:widowControl/>
        <w:spacing w:line="360" w:lineRule="auto"/>
        <w:ind w:firstLine="482" w:firstLineChars="200"/>
        <w:jc w:val="left"/>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期初：</w:t>
      </w:r>
    </w:p>
    <w:p w14:paraId="282EC910">
      <w:pPr>
        <w:widowControl/>
        <w:spacing w:line="360" w:lineRule="auto"/>
        <w:ind w:firstLine="480" w:firstLineChars="200"/>
        <w:jc w:val="left"/>
        <w:rPr>
          <w:rFonts w:hint="eastAsia" w:ascii="宋体" w:hAnsi="宋体"/>
          <w:color w:val="000000"/>
          <w:sz w:val="24"/>
        </w:rPr>
      </w:pPr>
      <w:r>
        <w:rPr>
          <w:rFonts w:hint="eastAsia" w:ascii="宋体" w:hAnsi="宋体"/>
          <w:color w:val="000000"/>
          <w:sz w:val="24"/>
        </w:rPr>
        <w:t>1．制订完成学期教研工作计划。</w:t>
      </w:r>
    </w:p>
    <w:p w14:paraId="6234B030">
      <w:pPr>
        <w:widowControl/>
        <w:spacing w:line="360" w:lineRule="auto"/>
        <w:ind w:firstLine="480" w:firstLineChars="200"/>
        <w:jc w:val="left"/>
        <w:rPr>
          <w:rFonts w:hint="eastAsia" w:ascii="宋体" w:hAnsi="宋体"/>
          <w:color w:val="000000"/>
          <w:sz w:val="24"/>
        </w:rPr>
      </w:pPr>
      <w:r>
        <w:rPr>
          <w:rFonts w:hint="eastAsia" w:ascii="宋体" w:hAnsi="宋体"/>
          <w:color w:val="000000"/>
          <w:sz w:val="24"/>
        </w:rPr>
        <w:t>2．</w:t>
      </w:r>
      <w:r>
        <w:rPr>
          <w:rFonts w:hint="eastAsia" w:ascii="宋体" w:hAnsi="宋体"/>
          <w:color w:val="000000"/>
          <w:sz w:val="24"/>
          <w:lang w:eastAsia="zh-CN"/>
        </w:rPr>
        <w:t>参加</w:t>
      </w:r>
      <w:r>
        <w:rPr>
          <w:rFonts w:hint="eastAsia" w:ascii="宋体" w:hAnsi="宋体"/>
          <w:color w:val="000000"/>
          <w:sz w:val="24"/>
        </w:rPr>
        <w:t>市小学数学教材分析培训活动。</w:t>
      </w:r>
    </w:p>
    <w:p w14:paraId="66416074">
      <w:pPr>
        <w:widowControl/>
        <w:spacing w:line="360" w:lineRule="auto"/>
        <w:ind w:firstLine="482" w:firstLineChars="200"/>
        <w:jc w:val="left"/>
        <w:rPr>
          <w:rFonts w:hint="eastAsia" w:ascii="宋体" w:hAnsi="宋体"/>
          <w:b/>
          <w:bCs/>
          <w:color w:val="000000"/>
          <w:sz w:val="24"/>
        </w:rPr>
      </w:pPr>
      <w:r>
        <w:rPr>
          <w:rFonts w:hint="eastAsia" w:ascii="宋体" w:hAnsi="宋体"/>
          <w:b/>
          <w:bCs/>
          <w:color w:val="000000"/>
          <w:sz w:val="24"/>
        </w:rPr>
        <w:t>九月份：</w:t>
      </w:r>
    </w:p>
    <w:p w14:paraId="0A946C92">
      <w:pPr>
        <w:widowControl/>
        <w:spacing w:line="360" w:lineRule="auto"/>
        <w:ind w:firstLine="480" w:firstLineChars="200"/>
        <w:jc w:val="left"/>
        <w:rPr>
          <w:rFonts w:hint="eastAsia" w:ascii="宋体" w:hAnsi="宋体"/>
          <w:color w:val="0D0D0D" w:themeColor="text1" w:themeTint="F2"/>
          <w:sz w:val="24"/>
          <w14:textFill>
            <w14:solidFill>
              <w14:schemeClr w14:val="tx1">
                <w14:lumMod w14:val="95000"/>
                <w14:lumOff w14:val="5000"/>
              </w14:schemeClr>
            </w14:solidFill>
          </w14:textFill>
        </w:rPr>
      </w:pPr>
      <w:r>
        <w:rPr>
          <w:rFonts w:hint="eastAsia" w:ascii="宋体" w:hAnsi="宋体"/>
          <w:color w:val="0D0D0D" w:themeColor="text1" w:themeTint="F2"/>
          <w:sz w:val="24"/>
          <w14:textFill>
            <w14:solidFill>
              <w14:schemeClr w14:val="tx1">
                <w14:lumMod w14:val="95000"/>
                <w14:lumOff w14:val="5000"/>
              </w14:schemeClr>
            </w14:solidFill>
          </w14:textFill>
        </w:rPr>
        <w:t xml:space="preserve">1.参加期初数学学科责任人会议。（各校数学学科第一责任人及教研组长参加） </w:t>
      </w:r>
    </w:p>
    <w:p w14:paraId="2B402A2A">
      <w:pPr>
        <w:widowControl/>
        <w:spacing w:line="360" w:lineRule="auto"/>
        <w:ind w:firstLine="480" w:firstLineChars="200"/>
        <w:jc w:val="left"/>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2.</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参加</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天宁区小学数学一年级新教材培训活动暨“幼小科学衔接”活动</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w:t>
      </w:r>
    </w:p>
    <w:p w14:paraId="163105A6">
      <w:pPr>
        <w:widowControl/>
        <w:spacing w:line="360" w:lineRule="auto"/>
        <w:ind w:firstLine="480" w:firstLineChars="200"/>
        <w:jc w:val="left"/>
        <w:rPr>
          <w:rFonts w:hint="eastAsia" w:ascii="宋体" w:hAnsi="宋体" w:eastAsia="宋体" w:cs="Times New Roman"/>
          <w:color w:val="0D0D0D" w:themeColor="text1" w:themeTint="F2"/>
          <w:sz w:val="24"/>
          <w:lang w:eastAsia="zh-CN"/>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3.开展</w:t>
      </w: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学科关键能力（口算）常态监测活动</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（三年级）</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w:t>
      </w:r>
    </w:p>
    <w:p w14:paraId="4AEDCC4B">
      <w:pPr>
        <w:widowControl/>
        <w:spacing w:line="360" w:lineRule="auto"/>
        <w:ind w:firstLine="480" w:firstLineChars="200"/>
        <w:jc w:val="left"/>
        <w:rPr>
          <w:rFonts w:hint="eastAsia" w:ascii="宋体" w:hAnsi="宋体" w:eastAsia="宋体" w:cs="Times New Roman"/>
          <w:color w:val="0D0D0D" w:themeColor="text1" w:themeTint="F2"/>
          <w:sz w:val="24"/>
          <w:lang w:eastAsia="zh-CN"/>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4</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参加</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区域城乡共研——小学数学校本教研交流展示活动</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w:t>
      </w:r>
    </w:p>
    <w:p w14:paraId="48DAEE1B">
      <w:pPr>
        <w:widowControl/>
        <w:spacing w:line="360" w:lineRule="auto"/>
        <w:ind w:firstLine="480" w:firstLineChars="200"/>
        <w:jc w:val="left"/>
        <w:rPr>
          <w:rFonts w:hint="eastAsia" w:ascii="宋体" w:hAnsi="宋体" w:eastAsia="宋体" w:cs="Times New Roman"/>
          <w:color w:val="0D0D0D" w:themeColor="text1" w:themeTint="F2"/>
          <w:sz w:val="24"/>
          <w:lang w:eastAsia="zh-CN"/>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5</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.天宁区小学数学优质课评比活动第一轮（练习设计）</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w:t>
      </w:r>
    </w:p>
    <w:p w14:paraId="1551CB08">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6.开展校内</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计算教学研究课</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1，基本功常态化训练。</w:t>
      </w:r>
    </w:p>
    <w:p w14:paraId="76267355">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7</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.备课、听课、作业批改常规调研。</w:t>
      </w:r>
    </w:p>
    <w:p w14:paraId="2E8B1394">
      <w:pPr>
        <w:widowControl/>
        <w:spacing w:line="360" w:lineRule="auto"/>
        <w:ind w:firstLine="482" w:firstLineChars="200"/>
        <w:jc w:val="left"/>
        <w:rPr>
          <w:rFonts w:hint="eastAsia" w:ascii="宋体" w:hAnsi="宋体" w:eastAsia="宋体" w:cs="Times New Roman"/>
          <w:b/>
          <w:bCs/>
          <w:color w:val="000000"/>
          <w:sz w:val="24"/>
        </w:rPr>
      </w:pPr>
      <w:r>
        <w:rPr>
          <w:rFonts w:hint="eastAsia" w:ascii="宋体" w:hAnsi="宋体" w:eastAsia="宋体" w:cs="Times New Roman"/>
          <w:b/>
          <w:bCs/>
          <w:color w:val="000000"/>
          <w:sz w:val="24"/>
        </w:rPr>
        <w:t>十月份：</w:t>
      </w:r>
    </w:p>
    <w:p w14:paraId="266595E6">
      <w:pPr>
        <w:widowControl/>
        <w:numPr>
          <w:ilvl w:val="0"/>
          <w:numId w:val="0"/>
        </w:numPr>
        <w:spacing w:line="360" w:lineRule="auto"/>
        <w:ind w:firstLine="480" w:firstLineChars="200"/>
        <w:jc w:val="left"/>
        <w:rPr>
          <w:rFonts w:hint="eastAsia" w:ascii="宋体" w:hAnsi="宋体" w:eastAsia="宋体" w:cs="Times New Roman"/>
          <w:color w:val="000000" w:themeColor="text1"/>
          <w:sz w:val="24"/>
          <w:lang w:val="en-US" w:eastAsia="zh-CN"/>
          <w14:textFill>
            <w14:solidFill>
              <w14:schemeClr w14:val="tx1"/>
            </w14:solidFill>
          </w14:textFill>
        </w:rPr>
      </w:pPr>
      <w:r>
        <w:rPr>
          <w:rFonts w:hint="eastAsia" w:ascii="宋体" w:hAnsi="宋体" w:cs="Times New Roman"/>
          <w:color w:val="000000" w:themeColor="text1"/>
          <w:sz w:val="24"/>
          <w:lang w:val="en-US" w:eastAsia="zh-CN"/>
          <w14:textFill>
            <w14:solidFill>
              <w14:schemeClr w14:val="tx1"/>
            </w14:solidFill>
          </w14:textFill>
        </w:rPr>
        <w:t>1.参加</w:t>
      </w:r>
      <w:r>
        <w:rPr>
          <w:rFonts w:hint="eastAsia" w:ascii="宋体" w:hAnsi="宋体" w:eastAsia="宋体" w:cs="Times New Roman"/>
          <w:color w:val="000000" w:themeColor="text1"/>
          <w:sz w:val="24"/>
          <w:lang w:val="en-US" w:eastAsia="zh-CN"/>
          <w14:textFill>
            <w14:solidFill>
              <w14:schemeClr w14:val="tx1"/>
            </w14:solidFill>
          </w14:textFill>
        </w:rPr>
        <w:t>小学数学“统计与概率”大单元整体教学研究活动（新教材探索《平均数》）</w:t>
      </w:r>
    </w:p>
    <w:p w14:paraId="6EA6FEE1">
      <w:pPr>
        <w:widowControl/>
        <w:numPr>
          <w:ilvl w:val="0"/>
          <w:numId w:val="0"/>
        </w:numPr>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2</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.天宁区小学数学优质课评比活动第一轮（模拟课堂）</w:t>
      </w:r>
    </w:p>
    <w:p w14:paraId="7359F081">
      <w:pPr>
        <w:widowControl/>
        <w:numPr>
          <w:ilvl w:val="0"/>
          <w:numId w:val="0"/>
        </w:numPr>
        <w:spacing w:line="360" w:lineRule="auto"/>
        <w:ind w:firstLine="480" w:firstLineChars="200"/>
        <w:jc w:val="left"/>
        <w:rPr>
          <w:rFonts w:hint="eastAsia" w:ascii="宋体" w:hAnsi="宋体" w:eastAsia="宋体" w:cs="Times New Roman"/>
          <w:color w:val="000000"/>
          <w:sz w:val="24"/>
        </w:rPr>
      </w:pPr>
      <w:r>
        <w:rPr>
          <w:rFonts w:hint="eastAsia" w:ascii="宋体" w:hAnsi="宋体" w:cs="Times New Roman"/>
          <w:color w:val="000000"/>
          <w:sz w:val="24"/>
          <w:lang w:val="en-US" w:eastAsia="zh-CN"/>
        </w:rPr>
        <w:t>3</w:t>
      </w:r>
      <w:r>
        <w:rPr>
          <w:rFonts w:hint="eastAsia" w:ascii="宋体" w:hAnsi="宋体" w:eastAsia="宋体" w:cs="Times New Roman"/>
          <w:color w:val="000000"/>
          <w:sz w:val="24"/>
          <w:lang w:val="en-US" w:eastAsia="zh-CN"/>
        </w:rPr>
        <w:t>.</w:t>
      </w:r>
      <w:r>
        <w:rPr>
          <w:rFonts w:hint="eastAsia" w:ascii="宋体" w:hAnsi="宋体" w:cs="Times New Roman"/>
          <w:color w:val="000000"/>
          <w:sz w:val="24"/>
          <w:lang w:val="en-US" w:eastAsia="zh-CN"/>
        </w:rPr>
        <w:t>开展校内计算教学研究课2，基本功常态化训练。</w:t>
      </w:r>
    </w:p>
    <w:p w14:paraId="26A0396E">
      <w:pPr>
        <w:widowControl/>
        <w:spacing w:line="360" w:lineRule="auto"/>
        <w:ind w:firstLine="480" w:firstLineChars="200"/>
        <w:jc w:val="left"/>
        <w:rPr>
          <w:rFonts w:hint="eastAsia" w:ascii="宋体" w:hAnsi="宋体" w:eastAsia="宋体" w:cs="Times New Roman"/>
          <w:color w:val="000000"/>
          <w:sz w:val="24"/>
        </w:rPr>
      </w:pPr>
      <w:r>
        <w:rPr>
          <w:rFonts w:hint="eastAsia" w:ascii="宋体" w:hAnsi="宋体" w:cs="Times New Roman"/>
          <w:color w:val="000000"/>
          <w:sz w:val="24"/>
          <w:lang w:val="en-US" w:eastAsia="zh-CN"/>
        </w:rPr>
        <w:t>4</w:t>
      </w:r>
      <w:r>
        <w:rPr>
          <w:rFonts w:hint="eastAsia" w:ascii="宋体" w:hAnsi="宋体" w:eastAsia="宋体" w:cs="Times New Roman"/>
          <w:color w:val="000000"/>
          <w:sz w:val="24"/>
        </w:rPr>
        <w:t>.备课、听课、作业批改常规调研。</w:t>
      </w:r>
    </w:p>
    <w:p w14:paraId="22DC4A1A">
      <w:pPr>
        <w:widowControl/>
        <w:spacing w:line="360" w:lineRule="auto"/>
        <w:ind w:firstLine="482" w:firstLineChars="200"/>
        <w:jc w:val="left"/>
        <w:rPr>
          <w:rFonts w:hint="eastAsia" w:ascii="宋体" w:hAnsi="宋体" w:eastAsia="宋体" w:cs="Times New Roman"/>
          <w:b/>
          <w:bCs/>
          <w:color w:val="000000"/>
          <w:sz w:val="24"/>
        </w:rPr>
      </w:pPr>
      <w:r>
        <w:rPr>
          <w:rFonts w:hint="eastAsia" w:ascii="宋体" w:hAnsi="宋体" w:eastAsia="宋体" w:cs="Times New Roman"/>
          <w:b/>
          <w:bCs/>
          <w:color w:val="000000"/>
          <w:sz w:val="24"/>
        </w:rPr>
        <w:t>十一月份：</w:t>
      </w:r>
    </w:p>
    <w:p w14:paraId="3440D8E7">
      <w:pPr>
        <w:widowControl/>
        <w:spacing w:line="360" w:lineRule="auto"/>
        <w:ind w:firstLine="480" w:firstLineChars="200"/>
        <w:jc w:val="left"/>
        <w:rPr>
          <w:rFonts w:hint="default"/>
          <w:color w:val="0D0D0D" w:themeColor="text1" w:themeTint="F2"/>
          <w:lang w:val="en-US" w:eastAsia="zh-CN"/>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1</w:t>
      </w: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.市级年会论文评比区域选拔活动。</w:t>
      </w:r>
    </w:p>
    <w:p w14:paraId="2B2B37D8">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2</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参加</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小学数学市级‘幼小科学衔接’专题教研暨一年级新教材培训活动（三）”（《10的认识和加减运算》）</w:t>
      </w:r>
    </w:p>
    <w:p w14:paraId="48EAB78C">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3</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参加</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小学数学“综合与实践”大单元整体教学研究暨智慧教育学习展示活动（一年级《生活中的位置》）</w:t>
      </w:r>
    </w:p>
    <w:p w14:paraId="1440D394">
      <w:pPr>
        <w:widowControl/>
        <w:spacing w:line="360" w:lineRule="auto"/>
        <w:ind w:firstLine="480" w:firstLineChars="200"/>
        <w:jc w:val="left"/>
        <w:rPr>
          <w:rFonts w:hint="eastAsia" w:ascii="宋体" w:hAnsi="宋体" w:eastAsia="宋体" w:cs="Times New Roman"/>
          <w:color w:val="0D0D0D" w:themeColor="text1" w:themeTint="F2"/>
          <w:sz w:val="24"/>
          <w:lang w:eastAsia="zh-CN"/>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4.</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天宁区小学数学优质课评比活动第二轮（课堂教学</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w:t>
      </w:r>
    </w:p>
    <w:p w14:paraId="1D126E3F">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5</w:t>
      </w: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开展期中调研质量分析活动，基本功常态化训练</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w:t>
      </w:r>
    </w:p>
    <w:p w14:paraId="05A48A43">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6</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.备课、听课、作业批改常规调研。</w:t>
      </w:r>
    </w:p>
    <w:p w14:paraId="1E565857">
      <w:pPr>
        <w:widowControl/>
        <w:spacing w:line="360" w:lineRule="auto"/>
        <w:ind w:firstLine="482" w:firstLineChars="200"/>
        <w:jc w:val="left"/>
        <w:rPr>
          <w:rFonts w:hint="eastAsia" w:ascii="宋体" w:hAnsi="宋体" w:eastAsia="宋体" w:cs="Times New Roman"/>
          <w:b/>
          <w:bCs/>
          <w:color w:val="000000"/>
          <w:sz w:val="24"/>
        </w:rPr>
      </w:pPr>
      <w:r>
        <w:rPr>
          <w:rFonts w:hint="eastAsia" w:ascii="宋体" w:hAnsi="宋体" w:eastAsia="宋体" w:cs="Times New Roman"/>
          <w:b/>
          <w:bCs/>
          <w:color w:val="000000"/>
          <w:sz w:val="24"/>
        </w:rPr>
        <w:t>十二月份：</w:t>
      </w:r>
    </w:p>
    <w:p w14:paraId="0ABB673B">
      <w:pPr>
        <w:widowControl/>
        <w:spacing w:line="360" w:lineRule="auto"/>
        <w:ind w:firstLine="480" w:firstLineChars="200"/>
        <w:jc w:val="left"/>
        <w:rPr>
          <w:rFonts w:hint="default" w:ascii="宋体" w:hAnsi="宋体" w:eastAsia="宋体" w:cs="Times New Roman"/>
          <w:color w:val="0D0D0D" w:themeColor="text1" w:themeTint="F2"/>
          <w:sz w:val="24"/>
          <w:highlight w:val="none"/>
          <w:lang w:val="en-US" w:eastAsia="zh-CN"/>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highlight w:val="none"/>
          <w:lang w:val="en-US" w:eastAsia="zh-CN"/>
          <w14:textFill>
            <w14:solidFill>
              <w14:schemeClr w14:val="tx1">
                <w14:lumMod w14:val="95000"/>
                <w14:lumOff w14:val="5000"/>
              </w14:schemeClr>
            </w14:solidFill>
          </w14:textFill>
        </w:rPr>
        <w:t>1.区学业质量常态监测活动。</w:t>
      </w:r>
    </w:p>
    <w:p w14:paraId="24BEB0D6">
      <w:pPr>
        <w:widowControl/>
        <w:spacing w:line="360" w:lineRule="auto"/>
        <w:ind w:firstLine="480" w:firstLineChars="200"/>
        <w:jc w:val="left"/>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pP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2.</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参加</w:t>
      </w: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小学数学新教师课堂教学展示活动暨集团联盟校校本教研交流展示活动</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w:t>
      </w:r>
    </w:p>
    <w:p w14:paraId="49EAE98C">
      <w:pPr>
        <w:widowControl/>
        <w:spacing w:line="360" w:lineRule="auto"/>
        <w:ind w:firstLine="480" w:firstLineChars="200"/>
        <w:jc w:val="left"/>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3</w:t>
      </w: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参加</w:t>
      </w:r>
      <w:r>
        <w:rPr>
          <w:rFonts w:hint="eastAsia" w:ascii="宋体" w:hAnsi="宋体" w:eastAsia="宋体" w:cs="Times New Roman"/>
          <w:color w:val="0D0D0D" w:themeColor="text1" w:themeTint="F2"/>
          <w:sz w:val="24"/>
          <w:lang w:val="en-US" w:eastAsia="zh-CN"/>
          <w14:textFill>
            <w14:solidFill>
              <w14:schemeClr w14:val="tx1">
                <w14:lumMod w14:val="95000"/>
                <w14:lumOff w14:val="5000"/>
              </w14:schemeClr>
            </w14:solidFill>
          </w14:textFill>
        </w:rPr>
        <w:t>常州市小数年会活动</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w:t>
      </w:r>
    </w:p>
    <w:p w14:paraId="245511D7">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4</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w:t>
      </w:r>
      <w:r>
        <w:rPr>
          <w:rFonts w:hint="eastAsia" w:ascii="宋体" w:hAnsi="宋体" w:cs="Times New Roman"/>
          <w:color w:val="0D0D0D" w:themeColor="text1" w:themeTint="F2"/>
          <w:sz w:val="24"/>
          <w:lang w:eastAsia="zh-CN"/>
          <w14:textFill>
            <w14:solidFill>
              <w14:schemeClr w14:val="tx1">
                <w14:lumMod w14:val="95000"/>
                <w14:lumOff w14:val="5000"/>
              </w14:schemeClr>
            </w14:solidFill>
          </w14:textFill>
        </w:rPr>
        <w:t>开展校内计算教学研究课</w:t>
      </w: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3，基本功常态化训练</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w:t>
      </w:r>
    </w:p>
    <w:p w14:paraId="2352179C">
      <w:pPr>
        <w:widowControl/>
        <w:spacing w:line="360" w:lineRule="auto"/>
        <w:ind w:firstLine="480" w:firstLineChars="200"/>
        <w:jc w:val="left"/>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pPr>
      <w:r>
        <w:rPr>
          <w:rFonts w:hint="eastAsia" w:ascii="宋体" w:hAnsi="宋体" w:cs="Times New Roman"/>
          <w:color w:val="0D0D0D" w:themeColor="text1" w:themeTint="F2"/>
          <w:sz w:val="24"/>
          <w:lang w:val="en-US" w:eastAsia="zh-CN"/>
          <w14:textFill>
            <w14:solidFill>
              <w14:schemeClr w14:val="tx1">
                <w14:lumMod w14:val="95000"/>
                <w14:lumOff w14:val="5000"/>
              </w14:schemeClr>
            </w14:solidFill>
          </w14:textFill>
        </w:rPr>
        <w:t>5</w:t>
      </w:r>
      <w:r>
        <w:rPr>
          <w:rFonts w:hint="eastAsia" w:ascii="宋体" w:hAnsi="宋体" w:eastAsia="宋体" w:cs="Times New Roman"/>
          <w:color w:val="0D0D0D" w:themeColor="text1" w:themeTint="F2"/>
          <w:sz w:val="24"/>
          <w14:textFill>
            <w14:solidFill>
              <w14:schemeClr w14:val="tx1">
                <w14:lumMod w14:val="95000"/>
                <w14:lumOff w14:val="5000"/>
              </w14:schemeClr>
            </w14:solidFill>
          </w14:textFill>
        </w:rPr>
        <w:t>.备课、听课、作业批改常规调研。</w:t>
      </w:r>
    </w:p>
    <w:p w14:paraId="5E64D952">
      <w:pPr>
        <w:widowControl/>
        <w:spacing w:line="360" w:lineRule="auto"/>
        <w:ind w:firstLine="482" w:firstLineChars="200"/>
        <w:jc w:val="left"/>
        <w:rPr>
          <w:rFonts w:hint="eastAsia" w:ascii="宋体" w:hAnsi="宋体" w:eastAsia="宋体" w:cs="Times New Roman"/>
          <w:b/>
          <w:bCs/>
          <w:color w:val="000000"/>
          <w:sz w:val="24"/>
        </w:rPr>
      </w:pPr>
      <w:r>
        <w:rPr>
          <w:rFonts w:hint="eastAsia" w:ascii="宋体" w:hAnsi="宋体" w:eastAsia="宋体" w:cs="Times New Roman"/>
          <w:b/>
          <w:bCs/>
          <w:color w:val="000000"/>
          <w:sz w:val="24"/>
        </w:rPr>
        <w:t>一月份：</w:t>
      </w:r>
    </w:p>
    <w:p w14:paraId="393D8A91">
      <w:pPr>
        <w:widowControl/>
        <w:spacing w:line="360" w:lineRule="auto"/>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1.期末样本卷编制工作。</w:t>
      </w:r>
    </w:p>
    <w:p w14:paraId="683FAFC1">
      <w:pPr>
        <w:widowControl/>
        <w:spacing w:line="360" w:lineRule="auto"/>
        <w:ind w:firstLine="480" w:firstLineChars="200"/>
        <w:jc w:val="left"/>
        <w:rPr>
          <w:rFonts w:hint="eastAsia" w:ascii="宋体" w:hAnsi="宋体" w:eastAsia="宋体" w:cs="Times New Roman"/>
          <w:color w:val="000000"/>
          <w:sz w:val="24"/>
        </w:rPr>
      </w:pPr>
      <w:r>
        <w:rPr>
          <w:rFonts w:hint="eastAsia" w:ascii="宋体" w:hAnsi="宋体" w:eastAsia="宋体" w:cs="Times New Roman"/>
          <w:color w:val="000000"/>
          <w:sz w:val="24"/>
        </w:rPr>
        <w:t>2.期末结束相关工作。</w:t>
      </w:r>
    </w:p>
    <w:p w14:paraId="1CFCF449">
      <w:pPr>
        <w:rPr>
          <w:rFonts w:hint="eastAsia" w:ascii="宋体" w:hAnsi="宋体" w:eastAsia="宋体" w:cs="Times New Roman"/>
          <w:color w:val="000000"/>
          <w:sz w:val="24"/>
        </w:rPr>
      </w:pPr>
    </w:p>
    <w:p w14:paraId="3A9864C5">
      <w:pPr>
        <w:pStyle w:val="2"/>
        <w:rPr>
          <w:rFonts w:hint="default" w:ascii="宋体" w:hAnsi="宋体" w:eastAsia="宋体" w:cs="Times New Roman"/>
          <w:b/>
          <w:bCs/>
          <w:color w:val="000000" w:themeColor="text1"/>
          <w:sz w:val="24"/>
          <w:lang w:val="en-US" w:eastAsia="zh-CN"/>
          <w14:textFill>
            <w14:solidFill>
              <w14:schemeClr w14:val="tx1"/>
            </w14:solidFill>
          </w14:textFill>
        </w:rPr>
      </w:pPr>
      <w:r>
        <w:rPr>
          <w:rFonts w:hint="eastAsia" w:ascii="宋体" w:hAnsi="宋体" w:cs="Times New Roman"/>
          <w:b/>
          <w:bCs/>
          <w:color w:val="000000" w:themeColor="text1"/>
          <w:sz w:val="24"/>
          <w:lang w:val="en-US" w:eastAsia="zh-CN"/>
          <w14:textFill>
            <w14:solidFill>
              <w14:schemeClr w14:val="tx1"/>
            </w14:solidFill>
          </w14:textFill>
        </w:rPr>
        <w:t>校本教研安排：</w:t>
      </w:r>
    </w:p>
    <w:tbl>
      <w:tblPr>
        <w:tblStyle w:val="3"/>
        <w:tblpPr w:leftFromText="180" w:rightFromText="180" w:vertAnchor="text" w:horzAnchor="page" w:tblpX="1114" w:tblpY="583"/>
        <w:tblOverlap w:val="never"/>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6029"/>
        <w:gridCol w:w="1260"/>
        <w:gridCol w:w="1260"/>
      </w:tblGrid>
      <w:tr w14:paraId="10C0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279" w:type="dxa"/>
            <w:vAlign w:val="center"/>
          </w:tcPr>
          <w:p w14:paraId="42ADDB65">
            <w:pPr>
              <w:spacing w:line="600" w:lineRule="exact"/>
              <w:jc w:val="center"/>
              <w:rPr>
                <w:rFonts w:hint="eastAsia"/>
                <w:color w:val="000000" w:themeColor="text1"/>
                <w:szCs w:val="21"/>
                <w14:textFill>
                  <w14:solidFill>
                    <w14:schemeClr w14:val="tx1"/>
                  </w14:solidFill>
                </w14:textFill>
              </w:rPr>
            </w:pPr>
            <w:r>
              <w:rPr>
                <w:rFonts w:hint="eastAsia" w:ascii="黑体" w:eastAsia="黑体"/>
                <w:b/>
                <w:color w:val="000000" w:themeColor="text1"/>
                <w:szCs w:val="21"/>
                <w14:textFill>
                  <w14:solidFill>
                    <w14:schemeClr w14:val="tx1"/>
                  </w14:solidFill>
                </w14:textFill>
              </w:rPr>
              <w:t>周次/时间</w:t>
            </w:r>
          </w:p>
        </w:tc>
        <w:tc>
          <w:tcPr>
            <w:tcW w:w="6029" w:type="dxa"/>
            <w:vAlign w:val="center"/>
          </w:tcPr>
          <w:p w14:paraId="193245C8">
            <w:pPr>
              <w:jc w:val="center"/>
              <w:rPr>
                <w:rFonts w:hint="eastAsia"/>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研究内容</w:t>
            </w:r>
          </w:p>
        </w:tc>
        <w:tc>
          <w:tcPr>
            <w:tcW w:w="1260" w:type="dxa"/>
            <w:vAlign w:val="center"/>
          </w:tcPr>
          <w:p w14:paraId="6F3505C2">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责任人</w:t>
            </w:r>
          </w:p>
        </w:tc>
        <w:tc>
          <w:tcPr>
            <w:tcW w:w="1260" w:type="dxa"/>
            <w:vAlign w:val="center"/>
          </w:tcPr>
          <w:p w14:paraId="5934221B">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活动形式</w:t>
            </w:r>
          </w:p>
        </w:tc>
      </w:tr>
      <w:tr w14:paraId="41C5C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79" w:type="dxa"/>
            <w:vAlign w:val="center"/>
          </w:tcPr>
          <w:p w14:paraId="6A148D89">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期初</w:t>
            </w:r>
          </w:p>
        </w:tc>
        <w:tc>
          <w:tcPr>
            <w:tcW w:w="6029" w:type="dxa"/>
            <w:vAlign w:val="center"/>
          </w:tcPr>
          <w:p w14:paraId="3B5132BA">
            <w:pPr>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1.</w:t>
            </w:r>
            <w:r>
              <w:rPr>
                <w:rFonts w:hint="eastAsia" w:ascii="宋体" w:hAnsi="宋体" w:cs="宋体"/>
                <w:color w:val="000000" w:themeColor="text1"/>
                <w:sz w:val="18"/>
                <w:szCs w:val="18"/>
                <w14:textFill>
                  <w14:solidFill>
                    <w14:schemeClr w14:val="tx1"/>
                  </w14:solidFill>
                </w14:textFill>
              </w:rPr>
              <w:t>市小学数学教材分析培训活动。</w:t>
            </w:r>
          </w:p>
          <w:p w14:paraId="73067BEE">
            <w:pPr>
              <w:rPr>
                <w:rFonts w:hint="eastAsia" w:ascii="宋体" w:hAnsi="宋体"/>
                <w:color w:val="000000" w:themeColor="text1"/>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2.</w:t>
            </w:r>
            <w:r>
              <w:rPr>
                <w:rFonts w:hint="eastAsia" w:ascii="宋体" w:hAnsi="宋体" w:cs="宋体"/>
                <w:color w:val="000000" w:themeColor="text1"/>
                <w:sz w:val="18"/>
                <w:szCs w:val="18"/>
                <w14:textFill>
                  <w14:solidFill>
                    <w14:schemeClr w14:val="tx1"/>
                  </w14:solidFill>
                </w14:textFill>
              </w:rPr>
              <w:t>制定教研组工作计划。</w:t>
            </w:r>
          </w:p>
        </w:tc>
        <w:tc>
          <w:tcPr>
            <w:tcW w:w="1260" w:type="dxa"/>
            <w:vAlign w:val="center"/>
          </w:tcPr>
          <w:p w14:paraId="7FF8F1C8">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05838C79">
            <w:pPr>
              <w:jc w:val="center"/>
              <w:rPr>
                <w:rFonts w:hint="eastAsia"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备课组长</w:t>
            </w:r>
          </w:p>
        </w:tc>
        <w:tc>
          <w:tcPr>
            <w:tcW w:w="1260" w:type="dxa"/>
            <w:vAlign w:val="center"/>
          </w:tcPr>
          <w:p w14:paraId="73358BD1">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在线学习</w:t>
            </w:r>
          </w:p>
          <w:p w14:paraId="41D59BAE">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集体研讨</w:t>
            </w:r>
          </w:p>
        </w:tc>
      </w:tr>
      <w:tr w14:paraId="7931D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279" w:type="dxa"/>
            <w:vAlign w:val="center"/>
          </w:tcPr>
          <w:p w14:paraId="70EF5F0E">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第一周</w:t>
            </w:r>
          </w:p>
          <w:p w14:paraId="77FD2B94">
            <w:pPr>
              <w:spacing w:line="600" w:lineRule="exact"/>
              <w:jc w:val="center"/>
              <w:rPr>
                <w:rFonts w:hint="eastAsia"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lang w:val="en-US" w:eastAsia="zh-CN"/>
                <w14:textFill>
                  <w14:solidFill>
                    <w14:schemeClr w14:val="tx1"/>
                  </w14:solidFill>
                </w14:textFill>
              </w:rPr>
              <w:t>9/2</w:t>
            </w:r>
            <w:r>
              <w:rPr>
                <w:rFonts w:hint="eastAsia" w:ascii="宋体" w:hAnsi="宋体"/>
                <w:b/>
                <w:color w:val="000000" w:themeColor="text1"/>
                <w:sz w:val="18"/>
                <w:szCs w:val="18"/>
                <w14:textFill>
                  <w14:solidFill>
                    <w14:schemeClr w14:val="tx1"/>
                  </w14:solidFill>
                </w14:textFill>
              </w:rPr>
              <w:t>～</w:t>
            </w:r>
            <w:r>
              <w:rPr>
                <w:rFonts w:hint="eastAsia" w:ascii="宋体" w:hAnsi="宋体"/>
                <w:b/>
                <w:color w:val="000000" w:themeColor="text1"/>
                <w:sz w:val="18"/>
                <w:szCs w:val="18"/>
                <w:lang w:val="en-US" w:eastAsia="zh-CN"/>
                <w14:textFill>
                  <w14:solidFill>
                    <w14:schemeClr w14:val="tx1"/>
                  </w14:solidFill>
                </w14:textFill>
              </w:rPr>
              <w:t>9</w:t>
            </w:r>
            <w:r>
              <w:rPr>
                <w:rFonts w:hint="eastAsia" w:ascii="宋体" w:hAnsi="宋体"/>
                <w:b/>
                <w:color w:val="000000" w:themeColor="text1"/>
                <w:sz w:val="18"/>
                <w:szCs w:val="18"/>
                <w14:textFill>
                  <w14:solidFill>
                    <w14:schemeClr w14:val="tx1"/>
                  </w14:solidFill>
                </w14:textFill>
              </w:rPr>
              <w:t>/</w:t>
            </w:r>
            <w:r>
              <w:rPr>
                <w:rFonts w:hint="eastAsia" w:ascii="宋体" w:hAnsi="宋体"/>
                <w:b/>
                <w:color w:val="000000" w:themeColor="text1"/>
                <w:sz w:val="18"/>
                <w:szCs w:val="18"/>
                <w:lang w:val="en-US" w:eastAsia="zh-CN"/>
                <w14:textFill>
                  <w14:solidFill>
                    <w14:schemeClr w14:val="tx1"/>
                  </w14:solidFill>
                </w14:textFill>
              </w:rPr>
              <w:t>6</w:t>
            </w:r>
          </w:p>
        </w:tc>
        <w:tc>
          <w:tcPr>
            <w:tcW w:w="6029" w:type="dxa"/>
            <w:vAlign w:val="center"/>
          </w:tcPr>
          <w:p w14:paraId="0F6949C6">
            <w:pPr>
              <w:spacing w:line="320" w:lineRule="exact"/>
              <w:rPr>
                <w:rFonts w:hint="eastAsia" w:ascii="宋体" w:hAnsi="宋体"/>
                <w:bCs/>
                <w:snapToGrid w:val="0"/>
                <w:color w:val="000000" w:themeColor="text1"/>
                <w:kern w:val="0"/>
                <w:sz w:val="18"/>
                <w:szCs w:val="18"/>
                <w:lang w:val="en-US" w:eastAsia="zh-CN"/>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备课组集体备课</w:t>
            </w:r>
          </w:p>
          <w:p w14:paraId="4BB36786">
            <w:pPr>
              <w:numPr>
                <w:ilvl w:val="0"/>
                <w:numId w:val="0"/>
              </w:numPr>
              <w:rPr>
                <w:rFonts w:hint="eastAsia" w:ascii="宋体" w:hAnsi="宋体"/>
                <w:bCs/>
                <w:snapToGrid w:val="0"/>
                <w:color w:val="000000" w:themeColor="text1"/>
                <w:kern w:val="0"/>
                <w:sz w:val="18"/>
                <w:szCs w:val="18"/>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1.</w:t>
            </w:r>
            <w:r>
              <w:rPr>
                <w:rFonts w:hint="eastAsia" w:ascii="宋体" w:hAnsi="宋体"/>
                <w:bCs/>
                <w:snapToGrid w:val="0"/>
                <w:color w:val="000000" w:themeColor="text1"/>
                <w:kern w:val="0"/>
                <w:sz w:val="18"/>
                <w:szCs w:val="18"/>
                <w14:textFill>
                  <w14:solidFill>
                    <w14:schemeClr w14:val="tx1"/>
                  </w14:solidFill>
                </w14:textFill>
              </w:rPr>
              <w:t>期初课程，备课组制定学期工作计划。</w:t>
            </w:r>
          </w:p>
          <w:p w14:paraId="1C217A69">
            <w:pPr>
              <w:rPr>
                <w:rFonts w:hint="default"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2.开展备课组之间集体交流活动。</w:t>
            </w:r>
          </w:p>
          <w:p w14:paraId="3FA52E30">
            <w:pPr>
              <w:rPr>
                <w:rFonts w:hint="eastAsia" w:ascii="宋体" w:hAnsi="宋体" w:cs="宋体"/>
                <w:color w:val="000000" w:themeColor="text1"/>
                <w:sz w:val="18"/>
                <w:szCs w:val="18"/>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3</w:t>
            </w: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期初一周备课检查</w:t>
            </w:r>
            <w:r>
              <w:rPr>
                <w:rFonts w:hint="eastAsia" w:ascii="宋体" w:hAnsi="宋体"/>
                <w:color w:val="000000" w:themeColor="text1"/>
                <w:sz w:val="18"/>
                <w:szCs w:val="18"/>
                <w:lang w:eastAsia="zh-CN"/>
                <w14:textFill>
                  <w14:solidFill>
                    <w14:schemeClr w14:val="tx1"/>
                  </w14:solidFill>
                </w14:textFill>
              </w:rPr>
              <w:t>并</w:t>
            </w:r>
            <w:r>
              <w:rPr>
                <w:rFonts w:hint="eastAsia" w:ascii="宋体" w:hAnsi="宋体"/>
                <w:color w:val="000000" w:themeColor="text1"/>
                <w:sz w:val="18"/>
                <w:szCs w:val="18"/>
                <w14:textFill>
                  <w14:solidFill>
                    <w14:schemeClr w14:val="tx1"/>
                  </w14:solidFill>
                </w14:textFill>
              </w:rPr>
              <w:t>检查各备课组</w:t>
            </w:r>
            <w:r>
              <w:rPr>
                <w:rFonts w:hint="eastAsia" w:ascii="宋体" w:hAnsi="宋体"/>
                <w:color w:val="000000" w:themeColor="text1"/>
                <w:sz w:val="18"/>
                <w:szCs w:val="18"/>
                <w:lang w:val="en-US" w:eastAsia="zh-CN"/>
                <w14:textFill>
                  <w14:solidFill>
                    <w14:schemeClr w14:val="tx1"/>
                  </w14:solidFill>
                </w14:textFill>
              </w:rPr>
              <w:t>暑</w:t>
            </w:r>
            <w:r>
              <w:rPr>
                <w:rFonts w:hint="eastAsia" w:ascii="宋体" w:hAnsi="宋体"/>
                <w:color w:val="000000" w:themeColor="text1"/>
                <w:sz w:val="18"/>
                <w:szCs w:val="18"/>
                <w14:textFill>
                  <w14:solidFill>
                    <w14:schemeClr w14:val="tx1"/>
                  </w14:solidFill>
                </w14:textFill>
              </w:rPr>
              <w:t>假作业批阅情况。</w:t>
            </w:r>
          </w:p>
        </w:tc>
        <w:tc>
          <w:tcPr>
            <w:tcW w:w="1260" w:type="dxa"/>
            <w:vAlign w:val="center"/>
          </w:tcPr>
          <w:p w14:paraId="36D67806">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p w14:paraId="00575C5C">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tc>
        <w:tc>
          <w:tcPr>
            <w:tcW w:w="1260" w:type="dxa"/>
            <w:vAlign w:val="center"/>
          </w:tcPr>
          <w:p w14:paraId="1B1953E6">
            <w:pPr>
              <w:jc w:val="center"/>
              <w:rPr>
                <w:rFonts w:hint="default"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学习交流</w:t>
            </w:r>
          </w:p>
        </w:tc>
      </w:tr>
      <w:tr w14:paraId="6216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279" w:type="dxa"/>
            <w:vAlign w:val="center"/>
          </w:tcPr>
          <w:p w14:paraId="3D85BB8C">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第二周</w:t>
            </w:r>
          </w:p>
          <w:p w14:paraId="3B3ACA91">
            <w:pPr>
              <w:spacing w:line="600" w:lineRule="exact"/>
              <w:jc w:val="center"/>
              <w:rPr>
                <w:rFonts w:hint="eastAsia"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9/</w:t>
            </w:r>
            <w:r>
              <w:rPr>
                <w:rFonts w:hint="eastAsia" w:ascii="宋体" w:hAnsi="宋体"/>
                <w:b/>
                <w:color w:val="000000" w:themeColor="text1"/>
                <w:sz w:val="18"/>
                <w:szCs w:val="18"/>
                <w:lang w:val="en-US" w:eastAsia="zh-CN"/>
                <w14:textFill>
                  <w14:solidFill>
                    <w14:schemeClr w14:val="tx1"/>
                  </w14:solidFill>
                </w14:textFill>
              </w:rPr>
              <w:t>9</w:t>
            </w:r>
            <w:r>
              <w:rPr>
                <w:rFonts w:hint="eastAsia" w:ascii="宋体" w:hAnsi="宋体"/>
                <w:b/>
                <w:color w:val="000000" w:themeColor="text1"/>
                <w:sz w:val="18"/>
                <w:szCs w:val="18"/>
                <w14:textFill>
                  <w14:solidFill>
                    <w14:schemeClr w14:val="tx1"/>
                  </w14:solidFill>
                </w14:textFill>
              </w:rPr>
              <w:t>～1</w:t>
            </w:r>
            <w:r>
              <w:rPr>
                <w:rFonts w:hint="eastAsia" w:ascii="宋体" w:hAnsi="宋体"/>
                <w:b/>
                <w:color w:val="000000" w:themeColor="text1"/>
                <w:sz w:val="18"/>
                <w:szCs w:val="18"/>
                <w:lang w:val="en-US" w:eastAsia="zh-CN"/>
                <w14:textFill>
                  <w14:solidFill>
                    <w14:schemeClr w14:val="tx1"/>
                  </w14:solidFill>
                </w14:textFill>
              </w:rPr>
              <w:t>4</w:t>
            </w:r>
          </w:p>
        </w:tc>
        <w:tc>
          <w:tcPr>
            <w:tcW w:w="6029" w:type="dxa"/>
            <w:vAlign w:val="center"/>
          </w:tcPr>
          <w:p w14:paraId="0CD1EA70">
            <w:pP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教研组研究活动——</w:t>
            </w:r>
            <w:r>
              <w:rPr>
                <w:rFonts w:hint="eastAsia" w:ascii="宋体" w:hAnsi="宋体"/>
                <w:b/>
                <w:bCs/>
                <w:color w:val="000000" w:themeColor="text1"/>
                <w:sz w:val="18"/>
                <w:szCs w:val="18"/>
                <w:shd w:val="clear" w:color="FFFFFF" w:fill="D9D9D9"/>
                <w:lang w:val="en-US" w:eastAsia="zh-CN"/>
                <w14:textFill>
                  <w14:solidFill>
                    <w14:schemeClr w14:val="tx1"/>
                  </w14:solidFill>
                </w14:textFill>
              </w:rPr>
              <w:t>解读工作计划。</w:t>
            </w:r>
          </w:p>
          <w:p w14:paraId="23866CFD">
            <w:pP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1.解读教研组</w:t>
            </w:r>
            <w:r>
              <w:rPr>
                <w:rFonts w:hint="eastAsia" w:ascii="宋体" w:hAnsi="宋体" w:cs="宋体"/>
                <w:color w:val="000000" w:themeColor="text1"/>
                <w:sz w:val="18"/>
                <w:szCs w:val="18"/>
                <w:lang w:val="en-US" w:eastAsia="zh-CN"/>
                <w14:textFill>
                  <w14:solidFill>
                    <w14:schemeClr w14:val="tx1"/>
                  </w14:solidFill>
                </w14:textFill>
              </w:rPr>
              <w:t>工作</w:t>
            </w:r>
            <w:r>
              <w:rPr>
                <w:rFonts w:hint="eastAsia" w:ascii="宋体" w:hAnsi="宋体" w:cs="宋体"/>
                <w:color w:val="000000" w:themeColor="text1"/>
                <w:sz w:val="18"/>
                <w:szCs w:val="18"/>
                <w14:textFill>
                  <w14:solidFill>
                    <w14:schemeClr w14:val="tx1"/>
                  </w14:solidFill>
                </w14:textFill>
              </w:rPr>
              <w:t>计划。</w:t>
            </w:r>
          </w:p>
          <w:p w14:paraId="035A977C">
            <w:pPr>
              <w:numPr>
                <w:ilvl w:val="0"/>
                <w:numId w:val="0"/>
              </w:numP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2.各备课组交流重点活动安排。</w:t>
            </w:r>
          </w:p>
          <w:p w14:paraId="0C9F2259">
            <w:pPr>
              <w:numPr>
                <w:ilvl w:val="0"/>
                <w:numId w:val="0"/>
              </w:numPr>
              <w:rPr>
                <w:rFonts w:hint="eastAsia" w:ascii="宋体" w:hAnsi="宋体"/>
                <w:bCs/>
                <w:snapToGrid w:val="0"/>
                <w:color w:val="000000" w:themeColor="text1"/>
                <w:kern w:val="0"/>
                <w:sz w:val="18"/>
                <w:szCs w:val="18"/>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3.</w:t>
            </w:r>
            <w:r>
              <w:rPr>
                <w:rFonts w:hint="eastAsia" w:ascii="宋体" w:hAnsi="宋体"/>
                <w:bCs/>
                <w:snapToGrid w:val="0"/>
                <w:color w:val="000000" w:themeColor="text1"/>
                <w:kern w:val="0"/>
                <w:sz w:val="18"/>
                <w:szCs w:val="18"/>
                <w14:textFill>
                  <w14:solidFill>
                    <w14:schemeClr w14:val="tx1"/>
                  </w14:solidFill>
                </w14:textFill>
              </w:rPr>
              <w:t>参加天宁区小学数学一年级新教材培训活动暨“幼小科学衔接”活动。</w:t>
            </w:r>
          </w:p>
          <w:p w14:paraId="1FA82A5F">
            <w:pPr>
              <w:numPr>
                <w:ilvl w:val="0"/>
                <w:numId w:val="0"/>
              </w:numPr>
              <w:rPr>
                <w:rFonts w:hint="eastAsia" w:ascii="宋体" w:hAnsi="宋体"/>
                <w:bCs/>
                <w:snapToGrid w:val="0"/>
                <w:color w:val="000000" w:themeColor="text1"/>
                <w:kern w:val="0"/>
                <w:sz w:val="18"/>
                <w:szCs w:val="18"/>
                <w:lang w:val="en-US" w:eastAsia="zh-CN"/>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4.参加市测学业质量反馈会议。</w:t>
            </w:r>
          </w:p>
          <w:p w14:paraId="396ACED5">
            <w:pPr>
              <w:numPr>
                <w:ilvl w:val="0"/>
                <w:numId w:val="0"/>
              </w:numPr>
              <w:rPr>
                <w:rFonts w:hint="default" w:ascii="宋体" w:hAnsi="宋体"/>
                <w:bCs/>
                <w:snapToGrid w:val="0"/>
                <w:color w:val="000000" w:themeColor="text1"/>
                <w:kern w:val="0"/>
                <w:sz w:val="18"/>
                <w:szCs w:val="18"/>
                <w:lang w:val="en-US" w:eastAsia="zh-CN"/>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5.参加</w:t>
            </w:r>
            <w:r>
              <w:rPr>
                <w:rFonts w:hint="eastAsia" w:ascii="宋体" w:hAnsi="宋体"/>
                <w:color w:val="000000" w:themeColor="text1"/>
                <w:sz w:val="18"/>
                <w:szCs w:val="18"/>
                <w:lang w:val="en-US" w:eastAsia="zh-CN"/>
                <w14:textFill>
                  <w14:solidFill>
                    <w14:schemeClr w14:val="tx1"/>
                  </w14:solidFill>
                </w14:textFill>
              </w:rPr>
              <w:t>三年级区测口算专项练习。</w:t>
            </w:r>
          </w:p>
        </w:tc>
        <w:tc>
          <w:tcPr>
            <w:tcW w:w="1260" w:type="dxa"/>
            <w:vAlign w:val="center"/>
          </w:tcPr>
          <w:p w14:paraId="53BAB4EC">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5ED8BC7E">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04F49F6E">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沙龙研讨</w:t>
            </w:r>
          </w:p>
        </w:tc>
      </w:tr>
      <w:tr w14:paraId="651E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1279" w:type="dxa"/>
            <w:vAlign w:val="center"/>
          </w:tcPr>
          <w:p w14:paraId="0604B1DD">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第三周</w:t>
            </w:r>
          </w:p>
          <w:p w14:paraId="0A57E320">
            <w:pPr>
              <w:spacing w:line="600" w:lineRule="exact"/>
              <w:jc w:val="center"/>
              <w:rPr>
                <w:rFonts w:hint="eastAsia"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9/18～2</w:t>
            </w:r>
            <w:r>
              <w:rPr>
                <w:rFonts w:hint="eastAsia" w:ascii="宋体" w:hAnsi="宋体"/>
                <w:b/>
                <w:color w:val="000000" w:themeColor="text1"/>
                <w:sz w:val="18"/>
                <w:szCs w:val="18"/>
                <w:lang w:val="en-US" w:eastAsia="zh-CN"/>
                <w14:textFill>
                  <w14:solidFill>
                    <w14:schemeClr w14:val="tx1"/>
                  </w14:solidFill>
                </w14:textFill>
              </w:rPr>
              <w:t>0</w:t>
            </w:r>
          </w:p>
        </w:tc>
        <w:tc>
          <w:tcPr>
            <w:tcW w:w="6029" w:type="dxa"/>
            <w:vAlign w:val="center"/>
          </w:tcPr>
          <w:p w14:paraId="53B5A993">
            <w:pPr>
              <w:spacing w:line="320" w:lineRule="exact"/>
              <w:rPr>
                <w:rFonts w:hint="eastAsia" w:ascii="宋体" w:hAnsi="宋体"/>
                <w:b/>
                <w:bCs/>
                <w:color w:val="000000" w:themeColor="text1"/>
                <w:sz w:val="18"/>
                <w:szCs w:val="18"/>
                <w:shd w:val="clear" w:color="FFFFFF" w:fill="D9D9D9"/>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备课组集体备课</w:t>
            </w:r>
          </w:p>
          <w:p w14:paraId="3E6A451C">
            <w:pPr>
              <w:numPr>
                <w:ilvl w:val="0"/>
                <w:numId w:val="0"/>
              </w:numPr>
              <w:spacing w:line="320" w:lineRule="exact"/>
              <w:rPr>
                <w:rFonts w:hint="default" w:ascii="宋体" w:hAnsi="宋体"/>
                <w:color w:val="000000" w:themeColor="text1"/>
                <w:sz w:val="18"/>
                <w:szCs w:val="18"/>
                <w:lang w:val="en-US" w:eastAsia="zh-CN"/>
                <w14:textFill>
                  <w14:solidFill>
                    <w14:schemeClr w14:val="tx1"/>
                  </w14:solidFill>
                </w14:textFill>
              </w:rPr>
            </w:pPr>
            <w:bookmarkStart w:id="0" w:name="_GoBack"/>
            <w:bookmarkEnd w:id="0"/>
            <w:r>
              <w:rPr>
                <w:rFonts w:hint="eastAsia" w:ascii="宋体" w:hAnsi="宋体"/>
                <w:color w:val="000000" w:themeColor="text1"/>
                <w:sz w:val="18"/>
                <w:szCs w:val="18"/>
                <w:lang w:val="en-US" w:eastAsia="zh-CN"/>
                <w14:textFill>
                  <w14:solidFill>
                    <w14:schemeClr w14:val="tx1"/>
                  </w14:solidFill>
                </w14:textFill>
              </w:rPr>
              <w:t>交流作业设计与批改建议。</w:t>
            </w:r>
          </w:p>
        </w:tc>
        <w:tc>
          <w:tcPr>
            <w:tcW w:w="1260" w:type="dxa"/>
            <w:vAlign w:val="center"/>
          </w:tcPr>
          <w:p w14:paraId="53CFB05A">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21FF3E0E">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07BB334A">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集体备课</w:t>
            </w:r>
          </w:p>
        </w:tc>
      </w:tr>
      <w:tr w14:paraId="30AAB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279" w:type="dxa"/>
            <w:vAlign w:val="center"/>
          </w:tcPr>
          <w:p w14:paraId="1B69CE79">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第四周</w:t>
            </w:r>
          </w:p>
          <w:p w14:paraId="668F41E1">
            <w:pPr>
              <w:spacing w:line="600" w:lineRule="exact"/>
              <w:jc w:val="center"/>
              <w:rPr>
                <w:rFonts w:hint="eastAsia"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9/2</w:t>
            </w:r>
            <w:r>
              <w:rPr>
                <w:rFonts w:hint="eastAsia" w:ascii="宋体" w:hAnsi="宋体"/>
                <w:b/>
                <w:color w:val="000000" w:themeColor="text1"/>
                <w:sz w:val="18"/>
                <w:szCs w:val="18"/>
                <w:lang w:val="en-US" w:eastAsia="zh-CN"/>
                <w14:textFill>
                  <w14:solidFill>
                    <w14:schemeClr w14:val="tx1"/>
                  </w14:solidFill>
                </w14:textFill>
              </w:rPr>
              <w:t>3</w:t>
            </w:r>
            <w:r>
              <w:rPr>
                <w:rFonts w:hint="eastAsia" w:ascii="宋体" w:hAnsi="宋体"/>
                <w:b/>
                <w:color w:val="000000" w:themeColor="text1"/>
                <w:sz w:val="18"/>
                <w:szCs w:val="18"/>
                <w14:textFill>
                  <w14:solidFill>
                    <w14:schemeClr w14:val="tx1"/>
                  </w14:solidFill>
                </w14:textFill>
              </w:rPr>
              <w:t>～2</w:t>
            </w:r>
            <w:r>
              <w:rPr>
                <w:rFonts w:hint="eastAsia" w:ascii="宋体" w:hAnsi="宋体"/>
                <w:b/>
                <w:color w:val="000000" w:themeColor="text1"/>
                <w:sz w:val="18"/>
                <w:szCs w:val="18"/>
                <w:lang w:val="en-US" w:eastAsia="zh-CN"/>
                <w14:textFill>
                  <w14:solidFill>
                    <w14:schemeClr w14:val="tx1"/>
                  </w14:solidFill>
                </w14:textFill>
              </w:rPr>
              <w:t>7</w:t>
            </w:r>
          </w:p>
        </w:tc>
        <w:tc>
          <w:tcPr>
            <w:tcW w:w="6029" w:type="dxa"/>
            <w:vAlign w:val="center"/>
          </w:tcPr>
          <w:p w14:paraId="12B05BA0">
            <w:pPr>
              <w:rPr>
                <w:rFonts w:hint="default" w:ascii="宋体" w:hAnsi="宋体" w:eastAsia="宋体"/>
                <w:b/>
                <w:color w:val="000000" w:themeColor="text1"/>
                <w:sz w:val="18"/>
                <w:szCs w:val="18"/>
                <w:shd w:val="pct10" w:color="auto" w:fill="FFFFFF"/>
                <w:lang w:val="en-US" w:eastAsia="zh-CN"/>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教研组研究活动——</w:t>
            </w:r>
            <w:r>
              <w:rPr>
                <w:rFonts w:hint="eastAsia" w:ascii="宋体" w:hAnsi="宋体"/>
                <w:b/>
                <w:bCs/>
                <w:color w:val="000000" w:themeColor="text1"/>
                <w:sz w:val="18"/>
                <w:szCs w:val="18"/>
                <w:shd w:val="clear" w:color="FFFFFF" w:fill="D9D9D9"/>
                <w:lang w:eastAsia="zh-CN"/>
                <w14:textFill>
                  <w14:solidFill>
                    <w14:schemeClr w14:val="tx1"/>
                  </w14:solidFill>
                </w14:textFill>
              </w:rPr>
              <w:t>计算教学研究课</w:t>
            </w:r>
            <w:r>
              <w:rPr>
                <w:rFonts w:hint="eastAsia" w:ascii="宋体" w:hAnsi="宋体"/>
                <w:b/>
                <w:bCs/>
                <w:color w:val="000000" w:themeColor="text1"/>
                <w:sz w:val="18"/>
                <w:szCs w:val="18"/>
                <w:shd w:val="clear" w:color="FFFFFF" w:fill="D9D9D9"/>
                <w:lang w:val="en-US" w:eastAsia="zh-CN"/>
                <w14:textFill>
                  <w14:solidFill>
                    <w14:schemeClr w14:val="tx1"/>
                  </w14:solidFill>
                </w14:textFill>
              </w:rPr>
              <w:t>1</w:t>
            </w:r>
          </w:p>
          <w:p w14:paraId="2B542135">
            <w:pPr>
              <w:numPr>
                <w:ilvl w:val="0"/>
                <w:numId w:val="0"/>
              </w:numPr>
              <w:rPr>
                <w:rFonts w:hint="eastAsia" w:ascii="宋体" w:hAnsi="宋体"/>
                <w:bCs/>
                <w:snapToGrid w:val="0"/>
                <w:color w:val="000000" w:themeColor="text1"/>
                <w:kern w:val="0"/>
                <w:sz w:val="18"/>
                <w:szCs w:val="18"/>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1</w:t>
            </w:r>
            <w:r>
              <w:rPr>
                <w:rFonts w:hint="eastAsia" w:ascii="宋体" w:hAnsi="宋体"/>
                <w:bCs/>
                <w:snapToGrid w:val="0"/>
                <w:color w:val="000000" w:themeColor="text1"/>
                <w:kern w:val="0"/>
                <w:sz w:val="18"/>
                <w:szCs w:val="18"/>
                <w14:textFill>
                  <w14:solidFill>
                    <w14:schemeClr w14:val="tx1"/>
                  </w14:solidFill>
                </w14:textFill>
              </w:rPr>
              <w:t>.参加区域城乡共研——小学数学校本教研交流展示活动。</w:t>
            </w:r>
          </w:p>
          <w:p w14:paraId="5FB84B96">
            <w:pPr>
              <w:numPr>
                <w:ilvl w:val="0"/>
                <w:numId w:val="0"/>
              </w:numPr>
              <w:rPr>
                <w:rFonts w:hint="eastAsia" w:ascii="宋体" w:hAnsi="宋体"/>
                <w:bCs/>
                <w:snapToGrid w:val="0"/>
                <w:color w:val="000000" w:themeColor="text1"/>
                <w:kern w:val="0"/>
                <w:sz w:val="18"/>
                <w:szCs w:val="18"/>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2</w:t>
            </w:r>
            <w:r>
              <w:rPr>
                <w:rFonts w:hint="eastAsia" w:ascii="宋体" w:hAnsi="宋体"/>
                <w:bCs/>
                <w:snapToGrid w:val="0"/>
                <w:color w:val="000000" w:themeColor="text1"/>
                <w:kern w:val="0"/>
                <w:sz w:val="18"/>
                <w:szCs w:val="18"/>
                <w14:textFill>
                  <w14:solidFill>
                    <w14:schemeClr w14:val="tx1"/>
                  </w14:solidFill>
                </w14:textFill>
              </w:rPr>
              <w:t>.计算教学研究课1</w:t>
            </w:r>
            <w:r>
              <w:rPr>
                <w:rFonts w:hint="eastAsia" w:ascii="宋体" w:hAnsi="宋体"/>
                <w:bCs/>
                <w:snapToGrid w:val="0"/>
                <w:color w:val="000000" w:themeColor="text1"/>
                <w:kern w:val="0"/>
                <w:sz w:val="18"/>
                <w:szCs w:val="18"/>
                <w:lang w:eastAsia="zh-CN"/>
                <w14:textFill>
                  <w14:solidFill>
                    <w14:schemeClr w14:val="tx1"/>
                  </w14:solidFill>
                </w14:textFill>
              </w:rPr>
              <w:t>（</w:t>
            </w:r>
            <w:r>
              <w:rPr>
                <w:rFonts w:hint="eastAsia" w:ascii="宋体" w:hAnsi="宋体"/>
                <w:bCs/>
                <w:snapToGrid w:val="0"/>
                <w:color w:val="000000" w:themeColor="text1"/>
                <w:kern w:val="0"/>
                <w:sz w:val="18"/>
                <w:szCs w:val="18"/>
                <w:lang w:val="en-US" w:eastAsia="zh-CN"/>
                <w14:textFill>
                  <w14:solidFill>
                    <w14:schemeClr w14:val="tx1"/>
                  </w14:solidFill>
                </w14:textFill>
              </w:rPr>
              <w:t>二年级：认识乘法</w:t>
            </w:r>
            <w:r>
              <w:rPr>
                <w:rFonts w:hint="eastAsia" w:ascii="宋体" w:hAnsi="宋体"/>
                <w:bCs/>
                <w:snapToGrid w:val="0"/>
                <w:color w:val="000000" w:themeColor="text1"/>
                <w:kern w:val="0"/>
                <w:sz w:val="18"/>
                <w:szCs w:val="18"/>
                <w:lang w:eastAsia="zh-CN"/>
                <w14:textFill>
                  <w14:solidFill>
                    <w14:schemeClr w14:val="tx1"/>
                  </w14:solidFill>
                </w14:textFill>
              </w:rPr>
              <w:t>）</w:t>
            </w:r>
            <w:r>
              <w:rPr>
                <w:rFonts w:hint="eastAsia" w:ascii="宋体" w:hAnsi="宋体"/>
                <w:bCs/>
                <w:snapToGrid w:val="0"/>
                <w:color w:val="000000" w:themeColor="text1"/>
                <w:kern w:val="0"/>
                <w:sz w:val="18"/>
                <w:szCs w:val="18"/>
                <w14:textFill>
                  <w14:solidFill>
                    <w14:schemeClr w14:val="tx1"/>
                  </w14:solidFill>
                </w14:textFill>
              </w:rPr>
              <w:t>。</w:t>
            </w:r>
          </w:p>
          <w:p w14:paraId="058769C2">
            <w:pPr>
              <w:numPr>
                <w:ilvl w:val="0"/>
                <w:numId w:val="0"/>
              </w:numPr>
              <w:rPr>
                <w:rFonts w:hint="eastAsia" w:ascii="宋体" w:hAnsi="宋体"/>
                <w:bCs/>
                <w:snapToGrid w:val="0"/>
                <w:color w:val="000000" w:themeColor="text1"/>
                <w:kern w:val="0"/>
                <w:sz w:val="18"/>
                <w:szCs w:val="18"/>
                <w:lang w:eastAsia="zh-CN"/>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3</w:t>
            </w:r>
            <w:r>
              <w:rPr>
                <w:rFonts w:hint="eastAsia" w:ascii="宋体" w:hAnsi="宋体"/>
                <w:bCs/>
                <w:snapToGrid w:val="0"/>
                <w:color w:val="000000" w:themeColor="text1"/>
                <w:kern w:val="0"/>
                <w:sz w:val="18"/>
                <w:szCs w:val="18"/>
                <w14:textFill>
                  <w14:solidFill>
                    <w14:schemeClr w14:val="tx1"/>
                  </w14:solidFill>
                </w14:textFill>
              </w:rPr>
              <w:t>.</w:t>
            </w:r>
            <w:r>
              <w:rPr>
                <w:rFonts w:hint="eastAsia" w:ascii="宋体" w:hAnsi="宋体"/>
                <w:bCs/>
                <w:snapToGrid w:val="0"/>
                <w:color w:val="000000" w:themeColor="text1"/>
                <w:kern w:val="0"/>
                <w:sz w:val="18"/>
                <w:szCs w:val="18"/>
                <w:lang w:eastAsia="zh-CN"/>
                <w14:textFill>
                  <w14:solidFill>
                    <w14:schemeClr w14:val="tx1"/>
                  </w14:solidFill>
                </w14:textFill>
              </w:rPr>
              <w:t>准备</w:t>
            </w:r>
            <w:r>
              <w:rPr>
                <w:rFonts w:hint="eastAsia" w:ascii="宋体" w:hAnsi="宋体"/>
                <w:bCs/>
                <w:snapToGrid w:val="0"/>
                <w:color w:val="000000" w:themeColor="text1"/>
                <w:kern w:val="0"/>
                <w:sz w:val="18"/>
                <w:szCs w:val="18"/>
                <w14:textFill>
                  <w14:solidFill>
                    <w14:schemeClr w14:val="tx1"/>
                  </w14:solidFill>
                </w14:textFill>
              </w:rPr>
              <w:t>天宁区小学数学优质课评比活动第一轮（练习设计）</w:t>
            </w:r>
          </w:p>
        </w:tc>
        <w:tc>
          <w:tcPr>
            <w:tcW w:w="1260" w:type="dxa"/>
            <w:vAlign w:val="center"/>
          </w:tcPr>
          <w:p w14:paraId="67EF83D5">
            <w:pPr>
              <w:jc w:val="center"/>
              <w:rPr>
                <w:rFonts w:hint="eastAsia" w:ascii="宋体" w:hAnsi="宋体"/>
                <w:color w:val="000000" w:themeColor="text1"/>
                <w:sz w:val="18"/>
                <w:szCs w:val="18"/>
                <w14:textFill>
                  <w14:solidFill>
                    <w14:schemeClr w14:val="tx1"/>
                  </w14:solidFill>
                </w14:textFill>
              </w:rPr>
            </w:pPr>
          </w:p>
          <w:p w14:paraId="10E99B05">
            <w:pP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3052AC95">
            <w:pP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49297F6D">
            <w:pPr>
              <w:jc w:val="center"/>
              <w:rPr>
                <w:rFonts w:hint="eastAsia" w:ascii="宋体" w:hAnsi="宋体"/>
                <w:color w:val="000000" w:themeColor="text1"/>
                <w:sz w:val="18"/>
                <w:szCs w:val="18"/>
                <w:lang w:eastAsia="zh-CN"/>
                <w14:textFill>
                  <w14:solidFill>
                    <w14:schemeClr w14:val="tx1"/>
                  </w14:solidFill>
                </w14:textFill>
              </w:rPr>
            </w:pPr>
            <w:r>
              <w:rPr>
                <w:rFonts w:hint="eastAsia" w:ascii="宋体" w:hAnsi="宋体"/>
                <w:color w:val="000000" w:themeColor="text1"/>
                <w:sz w:val="18"/>
                <w:szCs w:val="18"/>
                <w:lang w:eastAsia="zh-CN"/>
                <w14:textFill>
                  <w14:solidFill>
                    <w14:schemeClr w14:val="tx1"/>
                  </w14:solidFill>
                </w14:textFill>
              </w:rPr>
              <w:t>课堂教学</w:t>
            </w:r>
          </w:p>
          <w:p w14:paraId="206E0FFD">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沙龙研讨</w:t>
            </w:r>
          </w:p>
        </w:tc>
      </w:tr>
      <w:tr w14:paraId="2A5B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279" w:type="dxa"/>
            <w:vAlign w:val="center"/>
          </w:tcPr>
          <w:p w14:paraId="02201EF2">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第五周</w:t>
            </w:r>
          </w:p>
          <w:p w14:paraId="1D6FBEA3">
            <w:pPr>
              <w:spacing w:line="600" w:lineRule="exact"/>
              <w:jc w:val="center"/>
              <w:rPr>
                <w:rFonts w:hint="default"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lang w:val="en-US" w:eastAsia="zh-CN"/>
                <w14:textFill>
                  <w14:solidFill>
                    <w14:schemeClr w14:val="tx1"/>
                  </w14:solidFill>
                </w14:textFill>
              </w:rPr>
              <w:t>9</w:t>
            </w:r>
            <w:r>
              <w:rPr>
                <w:rFonts w:hint="eastAsia" w:ascii="宋体" w:hAnsi="宋体"/>
                <w:b/>
                <w:color w:val="000000" w:themeColor="text1"/>
                <w:sz w:val="18"/>
                <w:szCs w:val="18"/>
                <w14:textFill>
                  <w14:solidFill>
                    <w14:schemeClr w14:val="tx1"/>
                  </w14:solidFill>
                </w14:textFill>
              </w:rPr>
              <w:t>/2</w:t>
            </w:r>
            <w:r>
              <w:rPr>
                <w:rFonts w:hint="eastAsia" w:ascii="宋体" w:hAnsi="宋体"/>
                <w:b/>
                <w:color w:val="000000" w:themeColor="text1"/>
                <w:sz w:val="18"/>
                <w:szCs w:val="18"/>
                <w:lang w:val="en-US" w:eastAsia="zh-CN"/>
                <w14:textFill>
                  <w14:solidFill>
                    <w14:schemeClr w14:val="tx1"/>
                  </w14:solidFill>
                </w14:textFill>
              </w:rPr>
              <w:t>9</w:t>
            </w:r>
            <w:r>
              <w:rPr>
                <w:rFonts w:hint="eastAsia" w:ascii="宋体" w:hAnsi="宋体"/>
                <w:b/>
                <w:color w:val="000000" w:themeColor="text1"/>
                <w:sz w:val="18"/>
                <w:szCs w:val="18"/>
                <w14:textFill>
                  <w14:solidFill>
                    <w14:schemeClr w14:val="tx1"/>
                  </w14:solidFill>
                </w14:textFill>
              </w:rPr>
              <w:t>～</w:t>
            </w:r>
            <w:r>
              <w:rPr>
                <w:rFonts w:hint="eastAsia" w:ascii="宋体" w:hAnsi="宋体"/>
                <w:b/>
                <w:color w:val="000000" w:themeColor="text1"/>
                <w:sz w:val="18"/>
                <w:szCs w:val="18"/>
                <w:lang w:val="en-US" w:eastAsia="zh-CN"/>
                <w14:textFill>
                  <w14:solidFill>
                    <w14:schemeClr w14:val="tx1"/>
                  </w14:solidFill>
                </w14:textFill>
              </w:rPr>
              <w:t>30</w:t>
            </w:r>
          </w:p>
        </w:tc>
        <w:tc>
          <w:tcPr>
            <w:tcW w:w="6029" w:type="dxa"/>
            <w:vAlign w:val="center"/>
          </w:tcPr>
          <w:p w14:paraId="34047983">
            <w:pPr>
              <w:rPr>
                <w:rFonts w:hint="eastAsia" w:ascii="宋体" w:hAnsi="宋体"/>
                <w:b/>
                <w:bCs/>
                <w:color w:val="000000" w:themeColor="text1"/>
                <w:sz w:val="18"/>
                <w:szCs w:val="18"/>
                <w:shd w:val="clear" w:color="FFFFFF" w:fill="D9D9D9"/>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备课组集体备课</w:t>
            </w:r>
          </w:p>
          <w:p w14:paraId="653B4A0D">
            <w:pPr>
              <w:spacing w:line="320" w:lineRule="exact"/>
              <w:rPr>
                <w:rFonts w:hint="eastAsia"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r>
              <w:rPr>
                <w:rFonts w:hint="eastAsia" w:ascii="宋体" w:hAnsi="宋体"/>
                <w:color w:val="000000" w:themeColor="text1"/>
                <w:sz w:val="18"/>
                <w:szCs w:val="18"/>
                <w:lang w:eastAsia="zh-CN"/>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备课组集体备课，</w:t>
            </w:r>
            <w:r>
              <w:rPr>
                <w:rFonts w:hint="eastAsia" w:ascii="宋体" w:hAnsi="宋体"/>
                <w:bCs/>
                <w:color w:val="000000" w:themeColor="text1"/>
                <w:sz w:val="18"/>
                <w:szCs w:val="18"/>
                <w14:textFill>
                  <w14:solidFill>
                    <w14:schemeClr w14:val="tx1"/>
                  </w14:solidFill>
                </w14:textFill>
              </w:rPr>
              <w:t>检查各备课组活动记录。</w:t>
            </w:r>
          </w:p>
          <w:p w14:paraId="4A8622A0">
            <w:pPr>
              <w:numPr>
                <w:ilvl w:val="0"/>
                <w:numId w:val="0"/>
              </w:numPr>
              <w:rPr>
                <w:rFonts w:hint="eastAsia" w:ascii="宋体" w:hAnsi="宋体" w:cs="宋体"/>
                <w:color w:val="000000" w:themeColor="text1"/>
                <w:kern w:val="0"/>
                <w:sz w:val="18"/>
                <w:szCs w:val="18"/>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2.</w:t>
            </w:r>
            <w:r>
              <w:rPr>
                <w:rFonts w:hint="eastAsia" w:ascii="宋体" w:hAnsi="宋体"/>
                <w:color w:val="000000" w:themeColor="text1"/>
                <w:sz w:val="18"/>
                <w:szCs w:val="18"/>
                <w14:textFill>
                  <w14:solidFill>
                    <w14:schemeClr w14:val="tx1"/>
                  </w14:solidFill>
                </w14:textFill>
              </w:rPr>
              <w:t>备课、听课、作业批改常规调研。</w:t>
            </w:r>
          </w:p>
        </w:tc>
        <w:tc>
          <w:tcPr>
            <w:tcW w:w="1260" w:type="dxa"/>
            <w:vAlign w:val="center"/>
          </w:tcPr>
          <w:p w14:paraId="5488A784">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53FBCFB7">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433E528A">
            <w:pPr>
              <w:jc w:val="center"/>
              <w:rPr>
                <w:rFonts w:hint="default"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集体备课</w:t>
            </w:r>
          </w:p>
        </w:tc>
      </w:tr>
      <w:tr w14:paraId="7F726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279" w:type="dxa"/>
            <w:vAlign w:val="center"/>
          </w:tcPr>
          <w:p w14:paraId="208406DC">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第六周</w:t>
            </w:r>
          </w:p>
          <w:p w14:paraId="25006FC0">
            <w:pPr>
              <w:spacing w:line="600" w:lineRule="exact"/>
              <w:jc w:val="center"/>
              <w:rPr>
                <w:rFonts w:hint="eastAsia"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10/</w:t>
            </w:r>
            <w:r>
              <w:rPr>
                <w:rFonts w:hint="eastAsia" w:ascii="宋体" w:hAnsi="宋体"/>
                <w:b/>
                <w:color w:val="000000" w:themeColor="text1"/>
                <w:sz w:val="18"/>
                <w:szCs w:val="18"/>
                <w:lang w:val="en-US" w:eastAsia="zh-CN"/>
                <w14:textFill>
                  <w14:solidFill>
                    <w14:schemeClr w14:val="tx1"/>
                  </w14:solidFill>
                </w14:textFill>
              </w:rPr>
              <w:t>8</w:t>
            </w:r>
            <w:r>
              <w:rPr>
                <w:rFonts w:hint="eastAsia" w:ascii="宋体" w:hAnsi="宋体"/>
                <w:b/>
                <w:color w:val="000000" w:themeColor="text1"/>
                <w:sz w:val="18"/>
                <w:szCs w:val="18"/>
                <w14:textFill>
                  <w14:solidFill>
                    <w14:schemeClr w14:val="tx1"/>
                  </w14:solidFill>
                </w14:textFill>
              </w:rPr>
              <w:t>～1</w:t>
            </w:r>
            <w:r>
              <w:rPr>
                <w:rFonts w:hint="eastAsia" w:ascii="宋体" w:hAnsi="宋体"/>
                <w:b/>
                <w:color w:val="000000" w:themeColor="text1"/>
                <w:sz w:val="18"/>
                <w:szCs w:val="18"/>
                <w:lang w:val="en-US" w:eastAsia="zh-CN"/>
                <w14:textFill>
                  <w14:solidFill>
                    <w14:schemeClr w14:val="tx1"/>
                  </w14:solidFill>
                </w14:textFill>
              </w:rPr>
              <w:t>2</w:t>
            </w:r>
          </w:p>
        </w:tc>
        <w:tc>
          <w:tcPr>
            <w:tcW w:w="6029" w:type="dxa"/>
            <w:vAlign w:val="center"/>
          </w:tcPr>
          <w:p w14:paraId="732E9326">
            <w:pPr>
              <w:rPr>
                <w:rFonts w:hint="eastAsia" w:ascii="宋体" w:hAnsi="宋体" w:eastAsia="宋体" w:cs="宋体"/>
                <w:b/>
                <w:color w:val="000000" w:themeColor="text1"/>
                <w:sz w:val="18"/>
                <w:szCs w:val="18"/>
                <w:shd w:val="pct10" w:color="auto" w:fill="FFFFFF"/>
                <w:lang w:val="en-US" w:eastAsia="zh-CN"/>
                <w14:textFill>
                  <w14:solidFill>
                    <w14:schemeClr w14:val="tx1"/>
                  </w14:solidFill>
                </w14:textFill>
              </w:rPr>
            </w:pPr>
            <w:r>
              <w:rPr>
                <w:rFonts w:hint="eastAsia" w:ascii="宋体" w:hAnsi="宋体" w:cs="宋体"/>
                <w:b/>
                <w:color w:val="000000" w:themeColor="text1"/>
                <w:sz w:val="18"/>
                <w:szCs w:val="18"/>
                <w:shd w:val="pct10" w:color="auto" w:fill="FFFFFF"/>
                <w14:textFill>
                  <w14:solidFill>
                    <w14:schemeClr w14:val="tx1"/>
                  </w14:solidFill>
                </w14:textFill>
              </w:rPr>
              <w:t>教研组研究活动——</w:t>
            </w:r>
            <w:r>
              <w:rPr>
                <w:rFonts w:hint="eastAsia" w:ascii="宋体" w:hAnsi="宋体" w:cs="宋体"/>
                <w:b/>
                <w:color w:val="000000" w:themeColor="text1"/>
                <w:sz w:val="18"/>
                <w:szCs w:val="18"/>
                <w:shd w:val="pct10" w:color="auto" w:fill="FFFFFF"/>
                <w:lang w:eastAsia="zh-CN"/>
                <w14:textFill>
                  <w14:solidFill>
                    <w14:schemeClr w14:val="tx1"/>
                  </w14:solidFill>
                </w14:textFill>
              </w:rPr>
              <w:t>计算教学研究课</w:t>
            </w:r>
            <w:r>
              <w:rPr>
                <w:rFonts w:hint="eastAsia" w:ascii="宋体" w:hAnsi="宋体" w:cs="宋体"/>
                <w:b/>
                <w:color w:val="000000" w:themeColor="text1"/>
                <w:sz w:val="18"/>
                <w:szCs w:val="18"/>
                <w:shd w:val="pct10" w:color="auto" w:fill="FFFFFF"/>
                <w:lang w:val="en-US" w:eastAsia="zh-CN"/>
                <w14:textFill>
                  <w14:solidFill>
                    <w14:schemeClr w14:val="tx1"/>
                  </w14:solidFill>
                </w14:textFill>
              </w:rPr>
              <w:t>2</w:t>
            </w:r>
          </w:p>
          <w:p w14:paraId="0FED455B">
            <w:pPr>
              <w:numPr>
                <w:ilvl w:val="0"/>
                <w:numId w:val="0"/>
              </w:numPr>
              <w:rPr>
                <w:rFonts w:hint="eastAsia" w:ascii="宋体" w:hAnsi="宋体"/>
                <w:color w:val="000000" w:themeColor="text1"/>
                <w:sz w:val="18"/>
                <w:szCs w:val="18"/>
                <w:lang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1.</w:t>
            </w:r>
            <w:r>
              <w:rPr>
                <w:rFonts w:hint="eastAsia" w:ascii="宋体" w:hAnsi="宋体"/>
                <w:color w:val="000000" w:themeColor="text1"/>
                <w:sz w:val="18"/>
                <w:szCs w:val="18"/>
                <w:lang w:eastAsia="zh-CN"/>
                <w14:textFill>
                  <w14:solidFill>
                    <w14:schemeClr w14:val="tx1"/>
                  </w14:solidFill>
                </w14:textFill>
              </w:rPr>
              <w:t>参加小学数学“统计与概率”大单元整体教学研究活动（新教材探索《平均数》）</w:t>
            </w:r>
          </w:p>
          <w:p w14:paraId="51BCA9F4">
            <w:pPr>
              <w:widowControl/>
              <w:spacing w:line="360" w:lineRule="auto"/>
              <w:jc w:val="left"/>
              <w:rPr>
                <w:rFonts w:hint="eastAsia" w:ascii="宋体" w:hAnsi="宋体"/>
                <w:color w:val="000000" w:themeColor="text1"/>
                <w:sz w:val="18"/>
                <w:szCs w:val="18"/>
                <w:lang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2.</w:t>
            </w:r>
            <w:r>
              <w:rPr>
                <w:rFonts w:hint="eastAsia" w:ascii="宋体" w:hAnsi="宋体"/>
                <w:color w:val="000000" w:themeColor="text1"/>
                <w:sz w:val="18"/>
                <w:szCs w:val="18"/>
                <w:lang w:eastAsia="zh-CN"/>
                <w14:textFill>
                  <w14:solidFill>
                    <w14:schemeClr w14:val="tx1"/>
                  </w14:solidFill>
                </w14:textFill>
              </w:rPr>
              <w:t>计算教学研究课2（六年级：</w:t>
            </w:r>
            <w:r>
              <w:rPr>
                <w:rFonts w:hint="eastAsia" w:ascii="宋体" w:hAnsi="宋体"/>
                <w:color w:val="000000" w:themeColor="text1"/>
                <w:sz w:val="18"/>
                <w:szCs w:val="18"/>
                <w:lang w:val="en-US" w:eastAsia="zh-CN"/>
                <w14:textFill>
                  <w14:solidFill>
                    <w14:schemeClr w14:val="tx1"/>
                  </w14:solidFill>
                </w14:textFill>
              </w:rPr>
              <w:t>分数除法）</w:t>
            </w:r>
          </w:p>
        </w:tc>
        <w:tc>
          <w:tcPr>
            <w:tcW w:w="1260" w:type="dxa"/>
            <w:vAlign w:val="center"/>
          </w:tcPr>
          <w:p w14:paraId="47F570D8">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5844259D">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39FA595C">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课堂教学</w:t>
            </w:r>
          </w:p>
          <w:p w14:paraId="4A7EB21E">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沙龙研讨</w:t>
            </w:r>
          </w:p>
        </w:tc>
      </w:tr>
      <w:tr w14:paraId="1F28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79" w:type="dxa"/>
            <w:vAlign w:val="center"/>
          </w:tcPr>
          <w:p w14:paraId="55ACCF3D">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第七周</w:t>
            </w:r>
          </w:p>
          <w:p w14:paraId="5E40AAB0">
            <w:pPr>
              <w:spacing w:line="600" w:lineRule="exact"/>
              <w:jc w:val="center"/>
              <w:rPr>
                <w:rFonts w:hint="default"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10/1</w:t>
            </w:r>
            <w:r>
              <w:rPr>
                <w:rFonts w:hint="eastAsia" w:ascii="宋体" w:hAnsi="宋体"/>
                <w:b/>
                <w:color w:val="000000" w:themeColor="text1"/>
                <w:sz w:val="18"/>
                <w:szCs w:val="18"/>
                <w:lang w:val="en-US" w:eastAsia="zh-CN"/>
                <w14:textFill>
                  <w14:solidFill>
                    <w14:schemeClr w14:val="tx1"/>
                  </w14:solidFill>
                </w14:textFill>
              </w:rPr>
              <w:t>4</w:t>
            </w:r>
            <w:r>
              <w:rPr>
                <w:rFonts w:hint="eastAsia" w:ascii="宋体" w:hAnsi="宋体"/>
                <w:b/>
                <w:color w:val="000000" w:themeColor="text1"/>
                <w:sz w:val="18"/>
                <w:szCs w:val="18"/>
                <w14:textFill>
                  <w14:solidFill>
                    <w14:schemeClr w14:val="tx1"/>
                  </w14:solidFill>
                </w14:textFill>
              </w:rPr>
              <w:t>～</w:t>
            </w:r>
            <w:r>
              <w:rPr>
                <w:rFonts w:hint="eastAsia" w:ascii="宋体" w:hAnsi="宋体"/>
                <w:b/>
                <w:color w:val="000000" w:themeColor="text1"/>
                <w:sz w:val="18"/>
                <w:szCs w:val="18"/>
                <w:lang w:val="en-US" w:eastAsia="zh-CN"/>
                <w14:textFill>
                  <w14:solidFill>
                    <w14:schemeClr w14:val="tx1"/>
                  </w14:solidFill>
                </w14:textFill>
              </w:rPr>
              <w:t>18</w:t>
            </w:r>
          </w:p>
        </w:tc>
        <w:tc>
          <w:tcPr>
            <w:tcW w:w="6029" w:type="dxa"/>
            <w:vAlign w:val="center"/>
          </w:tcPr>
          <w:p w14:paraId="620B8F85">
            <w:pPr>
              <w:rPr>
                <w:rFonts w:hint="eastAsia" w:ascii="宋体" w:hAnsi="宋体"/>
                <w:b/>
                <w:bCs/>
                <w:color w:val="000000" w:themeColor="text1"/>
                <w:sz w:val="18"/>
                <w:szCs w:val="18"/>
                <w:shd w:val="clear" w:color="FFFFFF" w:fill="D9D9D9"/>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备课组集体备课</w:t>
            </w:r>
          </w:p>
          <w:p w14:paraId="6DF24212">
            <w:pPr>
              <w:spacing w:line="320" w:lineRule="exact"/>
              <w:rPr>
                <w:rFonts w:hint="eastAsia"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1.备课组集体备课，</w:t>
            </w:r>
            <w:r>
              <w:rPr>
                <w:rFonts w:hint="eastAsia" w:ascii="宋体" w:hAnsi="宋体"/>
                <w:bCs/>
                <w:color w:val="000000" w:themeColor="text1"/>
                <w:sz w:val="18"/>
                <w:szCs w:val="18"/>
                <w14:textFill>
                  <w14:solidFill>
                    <w14:schemeClr w14:val="tx1"/>
                  </w14:solidFill>
                </w14:textFill>
              </w:rPr>
              <w:t>检查各备课组活动记录。</w:t>
            </w:r>
          </w:p>
          <w:p w14:paraId="51697B06">
            <w:pP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2.备课、听课、作业批改常规调研。</w:t>
            </w:r>
          </w:p>
        </w:tc>
        <w:tc>
          <w:tcPr>
            <w:tcW w:w="1260" w:type="dxa"/>
            <w:vAlign w:val="center"/>
          </w:tcPr>
          <w:p w14:paraId="0A93FD77">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175D8B88">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5B091E5F">
            <w:pPr>
              <w:jc w:val="center"/>
              <w:rPr>
                <w:rFonts w:hint="default"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集体备课</w:t>
            </w:r>
          </w:p>
        </w:tc>
      </w:tr>
      <w:tr w14:paraId="6FB23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279" w:type="dxa"/>
            <w:vAlign w:val="center"/>
          </w:tcPr>
          <w:p w14:paraId="24CD59B3">
            <w:pPr>
              <w:spacing w:line="600" w:lineRule="exact"/>
              <w:jc w:val="center"/>
              <w:rPr>
                <w:rFonts w:hint="eastAsia"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第八周</w:t>
            </w:r>
          </w:p>
          <w:p w14:paraId="52B2D5AA">
            <w:pPr>
              <w:spacing w:line="600" w:lineRule="exact"/>
              <w:jc w:val="center"/>
              <w:rPr>
                <w:rFonts w:hint="eastAsia" w:ascii="宋体" w:hAnsi="宋体" w:eastAsia="宋体"/>
                <w:b/>
                <w:color w:val="000000" w:themeColor="text1"/>
                <w:sz w:val="18"/>
                <w:szCs w:val="18"/>
                <w:lang w:val="en-US" w:eastAsia="zh-CN"/>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10/2</w:t>
            </w:r>
            <w:r>
              <w:rPr>
                <w:rFonts w:hint="eastAsia" w:ascii="宋体" w:hAnsi="宋体"/>
                <w:b/>
                <w:color w:val="000000" w:themeColor="text1"/>
                <w:sz w:val="18"/>
                <w:szCs w:val="18"/>
                <w:lang w:val="en-US" w:eastAsia="zh-CN"/>
                <w14:textFill>
                  <w14:solidFill>
                    <w14:schemeClr w14:val="tx1"/>
                  </w14:solidFill>
                </w14:textFill>
              </w:rPr>
              <w:t>1</w:t>
            </w:r>
            <w:r>
              <w:rPr>
                <w:rFonts w:hint="eastAsia" w:ascii="宋体" w:hAnsi="宋体"/>
                <w:b/>
                <w:color w:val="000000" w:themeColor="text1"/>
                <w:sz w:val="18"/>
                <w:szCs w:val="18"/>
                <w14:textFill>
                  <w14:solidFill>
                    <w14:schemeClr w14:val="tx1"/>
                  </w14:solidFill>
                </w14:textFill>
              </w:rPr>
              <w:t>～2</w:t>
            </w:r>
            <w:r>
              <w:rPr>
                <w:rFonts w:hint="eastAsia" w:ascii="宋体" w:hAnsi="宋体"/>
                <w:b/>
                <w:color w:val="000000" w:themeColor="text1"/>
                <w:sz w:val="18"/>
                <w:szCs w:val="18"/>
                <w:lang w:val="en-US" w:eastAsia="zh-CN"/>
                <w14:textFill>
                  <w14:solidFill>
                    <w14:schemeClr w14:val="tx1"/>
                  </w14:solidFill>
                </w14:textFill>
              </w:rPr>
              <w:t>5</w:t>
            </w:r>
          </w:p>
        </w:tc>
        <w:tc>
          <w:tcPr>
            <w:tcW w:w="6029" w:type="dxa"/>
            <w:vAlign w:val="center"/>
          </w:tcPr>
          <w:p w14:paraId="18ED7F1F">
            <w:pPr>
              <w:rPr>
                <w:rFonts w:hint="default" w:ascii="宋体" w:hAnsi="宋体" w:eastAsia="宋体" w:cs="宋体"/>
                <w:b/>
                <w:color w:val="000000" w:themeColor="text1"/>
                <w:sz w:val="18"/>
                <w:szCs w:val="18"/>
                <w:shd w:val="pct10" w:color="auto" w:fill="FFFFFF"/>
                <w:lang w:val="en-US" w:eastAsia="zh-CN"/>
                <w14:textFill>
                  <w14:solidFill>
                    <w14:schemeClr w14:val="tx1"/>
                  </w14:solidFill>
                </w14:textFill>
              </w:rPr>
            </w:pPr>
            <w:r>
              <w:rPr>
                <w:rFonts w:hint="eastAsia" w:ascii="宋体" w:hAnsi="宋体" w:cs="宋体"/>
                <w:b/>
                <w:color w:val="000000" w:themeColor="text1"/>
                <w:sz w:val="18"/>
                <w:szCs w:val="18"/>
                <w:shd w:val="pct10" w:color="auto" w:fill="FFFFFF"/>
                <w14:textFill>
                  <w14:solidFill>
                    <w14:schemeClr w14:val="tx1"/>
                  </w14:solidFill>
                </w14:textFill>
              </w:rPr>
              <w:t>教研组研究活动——</w:t>
            </w:r>
            <w:r>
              <w:rPr>
                <w:rFonts w:hint="eastAsia" w:ascii="宋体" w:hAnsi="宋体" w:cs="宋体"/>
                <w:b/>
                <w:color w:val="000000" w:themeColor="text1"/>
                <w:sz w:val="18"/>
                <w:szCs w:val="18"/>
                <w:shd w:val="pct10" w:color="auto" w:fill="FFFFFF"/>
                <w:lang w:val="en-US" w:eastAsia="zh-CN"/>
                <w14:textFill>
                  <w14:solidFill>
                    <w14:schemeClr w14:val="tx1"/>
                  </w14:solidFill>
                </w14:textFill>
              </w:rPr>
              <w:t>评优课</w:t>
            </w:r>
            <w:r>
              <w:rPr>
                <w:rFonts w:hint="eastAsia" w:ascii="宋体" w:hAnsi="宋体" w:cs="宋体"/>
                <w:b/>
                <w:color w:val="000000" w:themeColor="text1"/>
                <w:sz w:val="18"/>
                <w:szCs w:val="18"/>
                <w:shd w:val="pct10" w:color="auto" w:fill="FFFFFF"/>
                <w:lang w:eastAsia="zh-CN"/>
                <w14:textFill>
                  <w14:solidFill>
                    <w14:schemeClr w14:val="tx1"/>
                  </w14:solidFill>
                </w14:textFill>
              </w:rPr>
              <w:t>训练</w:t>
            </w:r>
          </w:p>
          <w:p w14:paraId="367EC154">
            <w:pPr>
              <w:rPr>
                <w:rFonts w:hint="eastAsia" w:ascii="宋体" w:hAnsi="宋体"/>
                <w:color w:val="000000" w:themeColor="text1"/>
                <w:sz w:val="18"/>
                <w:szCs w:val="18"/>
                <w:lang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1.准备</w:t>
            </w:r>
            <w:r>
              <w:rPr>
                <w:rFonts w:hint="eastAsia" w:ascii="宋体" w:hAnsi="宋体"/>
                <w:color w:val="000000" w:themeColor="text1"/>
                <w:sz w:val="18"/>
                <w:szCs w:val="18"/>
                <w:lang w:eastAsia="zh-CN"/>
                <w14:textFill>
                  <w14:solidFill>
                    <w14:schemeClr w14:val="tx1"/>
                  </w14:solidFill>
                </w14:textFill>
              </w:rPr>
              <w:t>天宁区小学数学优质课评比活动第一轮（模拟课堂）</w:t>
            </w:r>
          </w:p>
          <w:p w14:paraId="7CEC9555">
            <w:pPr>
              <w:widowControl/>
              <w:spacing w:line="360" w:lineRule="auto"/>
              <w:jc w:val="left"/>
              <w:rPr>
                <w:rFonts w:hint="default" w:ascii="宋体" w:hAnsi="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2.进行</w:t>
            </w:r>
            <w:r>
              <w:rPr>
                <w:rFonts w:hint="eastAsia" w:ascii="宋体" w:hAnsi="宋体"/>
                <w:color w:val="000000" w:themeColor="text1"/>
                <w:sz w:val="18"/>
                <w:szCs w:val="18"/>
                <w:lang w:eastAsia="zh-CN"/>
                <w14:textFill>
                  <w14:solidFill>
                    <w14:schemeClr w14:val="tx1"/>
                  </w14:solidFill>
                </w14:textFill>
              </w:rPr>
              <w:t>数学基本功常规训练。</w:t>
            </w:r>
          </w:p>
        </w:tc>
        <w:tc>
          <w:tcPr>
            <w:tcW w:w="1260" w:type="dxa"/>
            <w:vAlign w:val="center"/>
          </w:tcPr>
          <w:p w14:paraId="62329F41">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教研组长</w:t>
            </w:r>
          </w:p>
          <w:p w14:paraId="463AAC67">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备课组长</w:t>
            </w:r>
          </w:p>
        </w:tc>
        <w:tc>
          <w:tcPr>
            <w:tcW w:w="1260" w:type="dxa"/>
            <w:vAlign w:val="center"/>
          </w:tcPr>
          <w:p w14:paraId="4BA0997A">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课堂教学</w:t>
            </w:r>
          </w:p>
          <w:p w14:paraId="7C40813A">
            <w:pPr>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沙龙</w:t>
            </w:r>
            <w:r>
              <w:rPr>
                <w:rFonts w:hint="eastAsia" w:ascii="宋体" w:hAnsi="宋体"/>
                <w:color w:val="000000" w:themeColor="text1"/>
                <w:sz w:val="18"/>
                <w:szCs w:val="18"/>
                <w14:textFill>
                  <w14:solidFill>
                    <w14:schemeClr w14:val="tx1"/>
                  </w14:solidFill>
                </w14:textFill>
              </w:rPr>
              <w:t>研讨</w:t>
            </w:r>
          </w:p>
        </w:tc>
      </w:tr>
      <w:tr w14:paraId="4F84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279" w:type="dxa"/>
            <w:vAlign w:val="center"/>
          </w:tcPr>
          <w:p w14:paraId="5AC8029E">
            <w:pPr>
              <w:spacing w:line="600" w:lineRule="exact"/>
              <w:jc w:val="center"/>
              <w:rPr>
                <w:rFonts w:hint="eastAsia" w:ascii="宋体" w:hAnsi="宋体"/>
                <w:b/>
                <w:sz w:val="18"/>
                <w:szCs w:val="18"/>
              </w:rPr>
            </w:pPr>
            <w:r>
              <w:rPr>
                <w:rFonts w:hint="eastAsia" w:ascii="宋体" w:hAnsi="宋体"/>
                <w:b/>
                <w:sz w:val="18"/>
                <w:szCs w:val="18"/>
              </w:rPr>
              <w:t>第九周</w:t>
            </w:r>
          </w:p>
          <w:p w14:paraId="1E90C25A">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10/</w:t>
            </w:r>
            <w:r>
              <w:rPr>
                <w:rFonts w:hint="eastAsia" w:ascii="宋体" w:hAnsi="宋体"/>
                <w:b/>
                <w:sz w:val="18"/>
                <w:szCs w:val="18"/>
                <w:lang w:val="en-US" w:eastAsia="zh-CN"/>
              </w:rPr>
              <w:t>28</w:t>
            </w:r>
            <w:r>
              <w:rPr>
                <w:rFonts w:hint="eastAsia" w:ascii="宋体" w:hAnsi="宋体"/>
                <w:b/>
                <w:sz w:val="18"/>
                <w:szCs w:val="18"/>
              </w:rPr>
              <w:t>～11/</w:t>
            </w:r>
            <w:r>
              <w:rPr>
                <w:rFonts w:hint="eastAsia" w:ascii="宋体" w:hAnsi="宋体"/>
                <w:b/>
                <w:sz w:val="18"/>
                <w:szCs w:val="18"/>
                <w:lang w:val="en-US" w:eastAsia="zh-CN"/>
              </w:rPr>
              <w:t>1</w:t>
            </w:r>
          </w:p>
        </w:tc>
        <w:tc>
          <w:tcPr>
            <w:tcW w:w="6029" w:type="dxa"/>
            <w:vAlign w:val="center"/>
          </w:tcPr>
          <w:p w14:paraId="6D12B329">
            <w:pPr>
              <w:rPr>
                <w:rFonts w:hint="eastAsia" w:ascii="宋体" w:hAnsi="宋体"/>
                <w:b/>
                <w:bCs/>
                <w:sz w:val="18"/>
                <w:szCs w:val="18"/>
                <w:shd w:val="clear" w:color="FFFFFF" w:fill="D9D9D9"/>
              </w:rPr>
            </w:pPr>
            <w:r>
              <w:rPr>
                <w:rFonts w:hint="eastAsia" w:ascii="宋体" w:hAnsi="宋体"/>
                <w:b/>
                <w:bCs/>
                <w:sz w:val="18"/>
                <w:szCs w:val="18"/>
                <w:shd w:val="clear" w:color="FFFFFF" w:fill="D9D9D9"/>
              </w:rPr>
              <w:t>备课组专题研讨</w:t>
            </w:r>
          </w:p>
          <w:p w14:paraId="5CC6A0C0">
            <w:pPr>
              <w:rPr>
                <w:rFonts w:hint="eastAsia" w:ascii="宋体" w:hAnsi="宋体"/>
                <w:bCs/>
                <w:sz w:val="18"/>
                <w:szCs w:val="18"/>
              </w:rPr>
            </w:pPr>
            <w:r>
              <w:rPr>
                <w:rFonts w:hint="eastAsia" w:ascii="宋体" w:hAnsi="宋体"/>
                <w:bCs/>
                <w:sz w:val="18"/>
                <w:szCs w:val="18"/>
              </w:rPr>
              <w:t>1.</w:t>
            </w:r>
            <w:r>
              <w:rPr>
                <w:rFonts w:hint="eastAsia" w:ascii="宋体" w:hAnsi="宋体"/>
                <w:bCs/>
                <w:sz w:val="18"/>
                <w:szCs w:val="18"/>
                <w:lang w:eastAsia="zh-CN"/>
              </w:rPr>
              <w:t>备课组集体备课，进行</w:t>
            </w:r>
            <w:r>
              <w:rPr>
                <w:rFonts w:hint="eastAsia" w:ascii="宋体" w:hAnsi="宋体" w:cs="宋体"/>
                <w:kern w:val="0"/>
                <w:sz w:val="18"/>
                <w:szCs w:val="18"/>
                <w:lang w:val="en-US" w:eastAsia="zh-CN"/>
              </w:rPr>
              <w:t>作业设计与命题设计交流</w:t>
            </w:r>
            <w:r>
              <w:rPr>
                <w:rFonts w:hint="eastAsia" w:ascii="宋体" w:hAnsi="宋体"/>
                <w:bCs/>
                <w:sz w:val="18"/>
                <w:szCs w:val="18"/>
              </w:rPr>
              <w:t>。</w:t>
            </w:r>
          </w:p>
          <w:p w14:paraId="30C658D9">
            <w:pPr>
              <w:rPr>
                <w:rFonts w:hint="eastAsia" w:ascii="宋体" w:hAnsi="宋体" w:cs="宋体"/>
                <w:sz w:val="18"/>
                <w:szCs w:val="18"/>
              </w:rPr>
            </w:pPr>
            <w:r>
              <w:rPr>
                <w:rFonts w:hint="eastAsia" w:ascii="宋体" w:hAnsi="宋体"/>
                <w:sz w:val="18"/>
                <w:szCs w:val="18"/>
              </w:rPr>
              <w:t>2.</w:t>
            </w:r>
            <w:r>
              <w:rPr>
                <w:rFonts w:hint="eastAsia" w:ascii="宋体" w:hAnsi="宋体"/>
                <w:sz w:val="18"/>
                <w:szCs w:val="18"/>
                <w:lang w:eastAsia="zh-CN"/>
              </w:rPr>
              <w:t>交流日常教学重难点及困惑之处</w:t>
            </w:r>
            <w:r>
              <w:rPr>
                <w:rFonts w:hint="eastAsia" w:ascii="宋体" w:hAnsi="宋体"/>
                <w:sz w:val="18"/>
                <w:szCs w:val="18"/>
              </w:rPr>
              <w:t>。</w:t>
            </w:r>
          </w:p>
        </w:tc>
        <w:tc>
          <w:tcPr>
            <w:tcW w:w="1260" w:type="dxa"/>
            <w:vAlign w:val="center"/>
          </w:tcPr>
          <w:p w14:paraId="5F3B8A8D">
            <w:pPr>
              <w:jc w:val="center"/>
              <w:rPr>
                <w:rFonts w:hint="eastAsia" w:ascii="宋体" w:hAnsi="宋体"/>
                <w:sz w:val="18"/>
                <w:szCs w:val="18"/>
              </w:rPr>
            </w:pPr>
            <w:r>
              <w:rPr>
                <w:rFonts w:hint="eastAsia" w:ascii="宋体" w:hAnsi="宋体"/>
                <w:sz w:val="18"/>
                <w:szCs w:val="18"/>
              </w:rPr>
              <w:t>备课组长</w:t>
            </w:r>
          </w:p>
          <w:p w14:paraId="7B582946">
            <w:pPr>
              <w:jc w:val="center"/>
              <w:rPr>
                <w:rFonts w:hint="default" w:ascii="宋体" w:hAnsi="宋体" w:eastAsia="宋体"/>
                <w:sz w:val="18"/>
                <w:szCs w:val="18"/>
                <w:lang w:val="en-US" w:eastAsia="zh-CN"/>
              </w:rPr>
            </w:pPr>
            <w:r>
              <w:rPr>
                <w:rFonts w:hint="eastAsia" w:ascii="宋体" w:hAnsi="宋体"/>
                <w:sz w:val="18"/>
                <w:szCs w:val="18"/>
                <w:lang w:val="en-US" w:eastAsia="zh-CN"/>
              </w:rPr>
              <w:t>教研组长</w:t>
            </w:r>
          </w:p>
        </w:tc>
        <w:tc>
          <w:tcPr>
            <w:tcW w:w="1260" w:type="dxa"/>
            <w:vAlign w:val="center"/>
          </w:tcPr>
          <w:p w14:paraId="7182C957">
            <w:pPr>
              <w:jc w:val="center"/>
              <w:rPr>
                <w:rFonts w:hint="eastAsia" w:ascii="宋体" w:hAnsi="宋体" w:eastAsia="宋体"/>
                <w:sz w:val="18"/>
                <w:szCs w:val="18"/>
                <w:lang w:eastAsia="zh-CN"/>
              </w:rPr>
            </w:pPr>
            <w:r>
              <w:rPr>
                <w:rFonts w:hint="eastAsia" w:ascii="宋体" w:hAnsi="宋体"/>
                <w:sz w:val="18"/>
                <w:szCs w:val="18"/>
                <w:lang w:eastAsia="zh-CN"/>
              </w:rPr>
              <w:t>集体备课</w:t>
            </w:r>
          </w:p>
        </w:tc>
      </w:tr>
      <w:tr w14:paraId="6DAA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279" w:type="dxa"/>
            <w:vAlign w:val="center"/>
          </w:tcPr>
          <w:p w14:paraId="0AF0B0F2">
            <w:pPr>
              <w:spacing w:line="600" w:lineRule="exact"/>
              <w:jc w:val="center"/>
              <w:rPr>
                <w:rFonts w:hint="eastAsia" w:ascii="宋体" w:hAnsi="宋体"/>
                <w:b/>
                <w:sz w:val="18"/>
                <w:szCs w:val="18"/>
              </w:rPr>
            </w:pPr>
            <w:r>
              <w:rPr>
                <w:rFonts w:hint="eastAsia" w:ascii="宋体" w:hAnsi="宋体"/>
                <w:b/>
                <w:sz w:val="18"/>
                <w:szCs w:val="18"/>
              </w:rPr>
              <w:t>第十周</w:t>
            </w:r>
          </w:p>
          <w:p w14:paraId="5CCB26A0">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11/</w:t>
            </w:r>
            <w:r>
              <w:rPr>
                <w:rFonts w:hint="eastAsia" w:ascii="宋体" w:hAnsi="宋体"/>
                <w:b/>
                <w:sz w:val="18"/>
                <w:szCs w:val="18"/>
                <w:lang w:val="en-US" w:eastAsia="zh-CN"/>
              </w:rPr>
              <w:t>4</w:t>
            </w:r>
            <w:r>
              <w:rPr>
                <w:rFonts w:hint="eastAsia" w:ascii="宋体" w:hAnsi="宋体"/>
                <w:b/>
                <w:sz w:val="18"/>
                <w:szCs w:val="18"/>
              </w:rPr>
              <w:t>～</w:t>
            </w:r>
            <w:r>
              <w:rPr>
                <w:rFonts w:hint="eastAsia" w:ascii="宋体" w:hAnsi="宋体"/>
                <w:b/>
                <w:sz w:val="18"/>
                <w:szCs w:val="18"/>
                <w:lang w:val="en-US" w:eastAsia="zh-CN"/>
              </w:rPr>
              <w:t>8</w:t>
            </w:r>
          </w:p>
        </w:tc>
        <w:tc>
          <w:tcPr>
            <w:tcW w:w="6029" w:type="dxa"/>
            <w:vAlign w:val="center"/>
          </w:tcPr>
          <w:p w14:paraId="510F4336">
            <w:pPr>
              <w:rPr>
                <w:rFonts w:hint="eastAsia" w:ascii="宋体" w:hAnsi="宋体" w:cs="宋体"/>
                <w:kern w:val="0"/>
                <w:sz w:val="18"/>
                <w:szCs w:val="18"/>
                <w:lang w:val="en-US" w:eastAsia="zh-CN"/>
              </w:rPr>
            </w:pPr>
            <w:r>
              <w:rPr>
                <w:rFonts w:hint="eastAsia" w:ascii="宋体" w:hAnsi="宋体"/>
                <w:b/>
                <w:bCs/>
                <w:sz w:val="18"/>
                <w:szCs w:val="18"/>
                <w:shd w:val="clear" w:color="FFFFFF" w:fill="D9D9D9"/>
              </w:rPr>
              <w:t>教研组课堂教学专题研讨——</w:t>
            </w:r>
            <w:r>
              <w:rPr>
                <w:rFonts w:hint="eastAsia" w:ascii="宋体" w:hAnsi="宋体"/>
                <w:b/>
                <w:bCs/>
                <w:sz w:val="18"/>
                <w:szCs w:val="18"/>
                <w:shd w:val="clear" w:color="FFFFFF" w:fill="D9D9D9"/>
                <w:lang w:eastAsia="zh-CN"/>
              </w:rPr>
              <w:t>评优课训练</w:t>
            </w:r>
            <w:r>
              <w:rPr>
                <w:rFonts w:hint="eastAsia" w:ascii="宋体" w:hAnsi="宋体" w:cs="宋体"/>
                <w:kern w:val="0"/>
                <w:sz w:val="18"/>
                <w:szCs w:val="18"/>
                <w:lang w:val="en-US" w:eastAsia="zh-CN"/>
              </w:rPr>
              <w:t>。</w:t>
            </w:r>
          </w:p>
          <w:p w14:paraId="2B5A7A40">
            <w:pPr>
              <w:numPr>
                <w:ilvl w:val="0"/>
                <w:numId w:val="0"/>
              </w:numPr>
              <w:rPr>
                <w:rFonts w:hint="eastAsia" w:ascii="宋体" w:hAnsi="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1.准备</w:t>
            </w:r>
            <w:r>
              <w:rPr>
                <w:rFonts w:hint="default" w:ascii="宋体" w:hAnsi="宋体" w:cs="宋体"/>
                <w:color w:val="000000" w:themeColor="text1"/>
                <w:kern w:val="0"/>
                <w:sz w:val="18"/>
                <w:szCs w:val="18"/>
                <w:lang w:val="en-US" w:eastAsia="zh-CN"/>
                <w14:textFill>
                  <w14:solidFill>
                    <w14:schemeClr w14:val="tx1"/>
                  </w14:solidFill>
                </w14:textFill>
              </w:rPr>
              <w:t>天宁区小学数学优质课评比活动第二轮（课堂教学）</w:t>
            </w:r>
            <w:r>
              <w:rPr>
                <w:rFonts w:hint="eastAsia" w:ascii="宋体" w:hAnsi="宋体" w:cs="宋体"/>
                <w:color w:val="000000" w:themeColor="text1"/>
                <w:kern w:val="0"/>
                <w:sz w:val="18"/>
                <w:szCs w:val="18"/>
                <w:lang w:val="en-US" w:eastAsia="zh-CN"/>
                <w14:textFill>
                  <w14:solidFill>
                    <w14:schemeClr w14:val="tx1"/>
                  </w14:solidFill>
                </w14:textFill>
              </w:rPr>
              <w:t>。</w:t>
            </w:r>
          </w:p>
          <w:p w14:paraId="4EE8041A">
            <w:pPr>
              <w:numPr>
                <w:ilvl w:val="0"/>
                <w:numId w:val="0"/>
              </w:numPr>
              <w:rPr>
                <w:rFonts w:hint="default" w:ascii="宋体" w:hAnsi="宋体" w:cs="宋体"/>
                <w:kern w:val="0"/>
                <w:sz w:val="18"/>
                <w:szCs w:val="18"/>
                <w:lang w:val="en-US" w:eastAsia="zh-CN"/>
              </w:rPr>
            </w:pPr>
            <w:r>
              <w:rPr>
                <w:rFonts w:hint="eastAsia" w:ascii="宋体" w:hAnsi="宋体"/>
                <w:color w:val="000000" w:themeColor="text1"/>
                <w:sz w:val="18"/>
                <w:szCs w:val="18"/>
                <w:lang w:val="en-US" w:eastAsia="zh-CN"/>
                <w14:textFill>
                  <w14:solidFill>
                    <w14:schemeClr w14:val="tx1"/>
                  </w14:solidFill>
                </w14:textFill>
              </w:rPr>
              <w:t>2.进行</w:t>
            </w:r>
            <w:r>
              <w:rPr>
                <w:rFonts w:hint="eastAsia" w:ascii="宋体" w:hAnsi="宋体"/>
                <w:color w:val="000000" w:themeColor="text1"/>
                <w:sz w:val="18"/>
                <w:szCs w:val="18"/>
                <w:lang w:eastAsia="zh-CN"/>
                <w14:textFill>
                  <w14:solidFill>
                    <w14:schemeClr w14:val="tx1"/>
                  </w14:solidFill>
                </w14:textFill>
              </w:rPr>
              <w:t>数学基本功常规训练。</w:t>
            </w:r>
          </w:p>
        </w:tc>
        <w:tc>
          <w:tcPr>
            <w:tcW w:w="1260" w:type="dxa"/>
            <w:vAlign w:val="center"/>
          </w:tcPr>
          <w:p w14:paraId="6A636302">
            <w:pPr>
              <w:jc w:val="center"/>
              <w:rPr>
                <w:rFonts w:hint="eastAsia" w:ascii="宋体" w:hAnsi="宋体"/>
                <w:sz w:val="18"/>
                <w:szCs w:val="18"/>
              </w:rPr>
            </w:pPr>
            <w:r>
              <w:rPr>
                <w:rFonts w:hint="eastAsia" w:ascii="宋体" w:hAnsi="宋体"/>
                <w:sz w:val="18"/>
                <w:szCs w:val="18"/>
              </w:rPr>
              <w:t>教研组长</w:t>
            </w:r>
          </w:p>
          <w:p w14:paraId="0EE631FE">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0D556428">
            <w:pPr>
              <w:jc w:val="center"/>
              <w:rPr>
                <w:rFonts w:hint="eastAsia" w:ascii="宋体" w:hAnsi="宋体"/>
                <w:sz w:val="18"/>
                <w:szCs w:val="18"/>
                <w:lang w:val="en-US" w:eastAsia="zh-CN"/>
              </w:rPr>
            </w:pPr>
            <w:r>
              <w:rPr>
                <w:rFonts w:hint="eastAsia" w:ascii="宋体" w:hAnsi="宋体"/>
                <w:sz w:val="18"/>
                <w:szCs w:val="18"/>
                <w:lang w:val="en-US" w:eastAsia="zh-CN"/>
              </w:rPr>
              <w:t>课堂教学</w:t>
            </w:r>
          </w:p>
          <w:p w14:paraId="019E223B">
            <w:pPr>
              <w:jc w:val="center"/>
              <w:rPr>
                <w:rFonts w:hint="default" w:ascii="宋体" w:hAnsi="宋体" w:eastAsia="宋体"/>
                <w:sz w:val="18"/>
                <w:szCs w:val="18"/>
                <w:lang w:val="en-US" w:eastAsia="zh-CN"/>
              </w:rPr>
            </w:pPr>
            <w:r>
              <w:rPr>
                <w:rFonts w:hint="eastAsia" w:ascii="宋体" w:hAnsi="宋体"/>
                <w:sz w:val="18"/>
                <w:szCs w:val="18"/>
                <w:lang w:val="en-US" w:eastAsia="zh-CN"/>
              </w:rPr>
              <w:t>沙龙研讨</w:t>
            </w:r>
          </w:p>
        </w:tc>
      </w:tr>
      <w:tr w14:paraId="032D3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279" w:type="dxa"/>
            <w:vAlign w:val="center"/>
          </w:tcPr>
          <w:p w14:paraId="1F917C5F">
            <w:pPr>
              <w:spacing w:line="600" w:lineRule="exact"/>
              <w:jc w:val="center"/>
              <w:rPr>
                <w:rFonts w:hint="eastAsia" w:ascii="宋体" w:hAnsi="宋体"/>
                <w:b/>
                <w:sz w:val="18"/>
                <w:szCs w:val="18"/>
              </w:rPr>
            </w:pPr>
            <w:r>
              <w:rPr>
                <w:rFonts w:hint="eastAsia" w:ascii="宋体" w:hAnsi="宋体"/>
                <w:b/>
                <w:sz w:val="18"/>
                <w:szCs w:val="18"/>
              </w:rPr>
              <w:t>第十一周</w:t>
            </w:r>
          </w:p>
          <w:p w14:paraId="2319B894">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11/1</w:t>
            </w:r>
            <w:r>
              <w:rPr>
                <w:rFonts w:hint="eastAsia" w:ascii="宋体" w:hAnsi="宋体"/>
                <w:b/>
                <w:sz w:val="18"/>
                <w:szCs w:val="18"/>
                <w:lang w:val="en-US" w:eastAsia="zh-CN"/>
              </w:rPr>
              <w:t>1</w:t>
            </w:r>
            <w:r>
              <w:rPr>
                <w:rFonts w:hint="eastAsia" w:ascii="宋体" w:hAnsi="宋体"/>
                <w:b/>
                <w:sz w:val="18"/>
                <w:szCs w:val="18"/>
              </w:rPr>
              <w:t>～1</w:t>
            </w:r>
            <w:r>
              <w:rPr>
                <w:rFonts w:hint="eastAsia" w:ascii="宋体" w:hAnsi="宋体"/>
                <w:b/>
                <w:sz w:val="18"/>
                <w:szCs w:val="18"/>
                <w:lang w:val="en-US" w:eastAsia="zh-CN"/>
              </w:rPr>
              <w:t>5</w:t>
            </w:r>
          </w:p>
        </w:tc>
        <w:tc>
          <w:tcPr>
            <w:tcW w:w="6029" w:type="dxa"/>
            <w:vAlign w:val="center"/>
          </w:tcPr>
          <w:p w14:paraId="6C864AAB">
            <w:pPr>
              <w:rPr>
                <w:rFonts w:hint="eastAsia" w:ascii="宋体" w:hAnsi="宋体"/>
                <w:b/>
                <w:bCs/>
                <w:sz w:val="18"/>
                <w:szCs w:val="18"/>
                <w:shd w:val="clear" w:color="FFFFFF" w:fill="D9D9D9"/>
              </w:rPr>
            </w:pPr>
            <w:r>
              <w:rPr>
                <w:rFonts w:hint="eastAsia" w:ascii="宋体" w:hAnsi="宋体"/>
                <w:b/>
                <w:bCs/>
                <w:sz w:val="18"/>
                <w:szCs w:val="18"/>
                <w:shd w:val="clear" w:color="FFFFFF" w:fill="D9D9D9"/>
              </w:rPr>
              <w:t>备课组专题研讨</w:t>
            </w:r>
          </w:p>
          <w:p w14:paraId="2363E311">
            <w:pPr>
              <w:rPr>
                <w:rFonts w:hint="eastAsia" w:ascii="宋体" w:hAnsi="宋体"/>
                <w:color w:val="000000" w:themeColor="text1"/>
                <w:sz w:val="18"/>
                <w:szCs w:val="18"/>
                <w:lang w:val="en-US" w:eastAsia="zh-CN"/>
                <w14:textFill>
                  <w14:solidFill>
                    <w14:schemeClr w14:val="tx1"/>
                  </w14:solidFill>
                </w14:textFill>
              </w:rPr>
            </w:pPr>
            <w:r>
              <w:rPr>
                <w:rFonts w:hint="eastAsia" w:ascii="宋体" w:hAnsi="宋体"/>
                <w:sz w:val="18"/>
                <w:szCs w:val="18"/>
                <w:lang w:val="en-US" w:eastAsia="zh-CN"/>
              </w:rPr>
              <w:t>1.</w:t>
            </w:r>
            <w:r>
              <w:rPr>
                <w:rFonts w:hint="eastAsia" w:ascii="宋体" w:hAnsi="宋体"/>
                <w:color w:val="000000" w:themeColor="text1"/>
                <w:sz w:val="18"/>
                <w:szCs w:val="18"/>
                <w:lang w:val="en-US" w:eastAsia="zh-CN"/>
                <w14:textFill>
                  <w14:solidFill>
                    <w14:schemeClr w14:val="tx1"/>
                  </w14:solidFill>
                </w14:textFill>
              </w:rPr>
              <w:t>备课组集体备课：交流期中练习复习方案。</w:t>
            </w:r>
          </w:p>
          <w:p w14:paraId="7658D1CF">
            <w:pPr>
              <w:numPr>
                <w:ilvl w:val="0"/>
                <w:numId w:val="2"/>
              </w:numPr>
              <w:rPr>
                <w:rFonts w:hint="default" w:ascii="宋体" w:hAnsi="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参加</w:t>
            </w:r>
            <w:r>
              <w:rPr>
                <w:rFonts w:hint="default" w:ascii="宋体" w:hAnsi="宋体" w:cs="宋体"/>
                <w:color w:val="000000" w:themeColor="text1"/>
                <w:kern w:val="0"/>
                <w:sz w:val="18"/>
                <w:szCs w:val="18"/>
                <w:lang w:val="en-US" w:eastAsia="zh-CN"/>
                <w14:textFill>
                  <w14:solidFill>
                    <w14:schemeClr w14:val="tx1"/>
                  </w14:solidFill>
                </w14:textFill>
              </w:rPr>
              <w:t>小学数学市级‘幼小科学衔接’专题教研暨一年级新教材培训活动（三）”（《10的认识和加减运算》）</w:t>
            </w:r>
          </w:p>
          <w:p w14:paraId="4F211AA5">
            <w:pPr>
              <w:numPr>
                <w:ilvl w:val="0"/>
                <w:numId w:val="2"/>
              </w:numPr>
              <w:rPr>
                <w:rFonts w:hint="default" w:ascii="宋体" w:hAnsi="宋体" w:eastAsia="宋体"/>
                <w:sz w:val="18"/>
                <w:szCs w:val="18"/>
                <w:lang w:val="en-US" w:eastAsia="zh-CN"/>
              </w:rPr>
            </w:pPr>
            <w:r>
              <w:rPr>
                <w:rFonts w:hint="eastAsia" w:ascii="宋体" w:hAnsi="宋体" w:cs="宋体"/>
                <w:color w:val="000000" w:themeColor="text1"/>
                <w:kern w:val="0"/>
                <w:sz w:val="18"/>
                <w:szCs w:val="18"/>
                <w:lang w:val="en-US" w:eastAsia="zh-CN"/>
                <w14:textFill>
                  <w14:solidFill>
                    <w14:schemeClr w14:val="tx1"/>
                  </w14:solidFill>
                </w14:textFill>
              </w:rPr>
              <w:t>参加</w:t>
            </w:r>
            <w:r>
              <w:rPr>
                <w:rFonts w:hint="default" w:ascii="宋体" w:hAnsi="宋体" w:cs="宋体"/>
                <w:color w:val="000000" w:themeColor="text1"/>
                <w:kern w:val="0"/>
                <w:sz w:val="18"/>
                <w:szCs w:val="18"/>
                <w:lang w:val="en-US" w:eastAsia="zh-CN"/>
                <w14:textFill>
                  <w14:solidFill>
                    <w14:schemeClr w14:val="tx1"/>
                  </w14:solidFill>
                </w14:textFill>
              </w:rPr>
              <w:t>小学数学市级年会论文评比区域选拔活动</w:t>
            </w:r>
            <w:r>
              <w:rPr>
                <w:rFonts w:hint="eastAsia" w:ascii="宋体" w:hAnsi="宋体" w:cs="宋体"/>
                <w:color w:val="000000" w:themeColor="text1"/>
                <w:kern w:val="0"/>
                <w:sz w:val="18"/>
                <w:szCs w:val="18"/>
                <w:lang w:val="en-US" w:eastAsia="zh-CN"/>
                <w14:textFill>
                  <w14:solidFill>
                    <w14:schemeClr w14:val="tx1"/>
                  </w14:solidFill>
                </w14:textFill>
              </w:rPr>
              <w:t>。</w:t>
            </w:r>
          </w:p>
        </w:tc>
        <w:tc>
          <w:tcPr>
            <w:tcW w:w="1260" w:type="dxa"/>
            <w:vAlign w:val="center"/>
          </w:tcPr>
          <w:p w14:paraId="5E71DE48">
            <w:pPr>
              <w:jc w:val="center"/>
              <w:rPr>
                <w:rFonts w:hint="eastAsia" w:ascii="宋体" w:hAnsi="宋体"/>
                <w:sz w:val="18"/>
                <w:szCs w:val="18"/>
              </w:rPr>
            </w:pPr>
            <w:r>
              <w:rPr>
                <w:rFonts w:hint="eastAsia" w:ascii="宋体" w:hAnsi="宋体"/>
                <w:sz w:val="18"/>
                <w:szCs w:val="18"/>
              </w:rPr>
              <w:t>教研组长</w:t>
            </w:r>
          </w:p>
          <w:p w14:paraId="211A91D2">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3616CBBE">
            <w:pPr>
              <w:jc w:val="center"/>
              <w:rPr>
                <w:rFonts w:hint="default" w:ascii="宋体" w:hAnsi="宋体" w:eastAsia="宋体"/>
                <w:sz w:val="18"/>
                <w:szCs w:val="18"/>
                <w:lang w:val="en-US" w:eastAsia="zh-CN"/>
              </w:rPr>
            </w:pPr>
            <w:r>
              <w:rPr>
                <w:rFonts w:hint="eastAsia" w:ascii="宋体" w:hAnsi="宋体"/>
                <w:sz w:val="18"/>
                <w:szCs w:val="18"/>
                <w:lang w:val="en-US" w:eastAsia="zh-CN"/>
              </w:rPr>
              <w:t>集体备课</w:t>
            </w:r>
          </w:p>
        </w:tc>
      </w:tr>
      <w:tr w14:paraId="641F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279" w:type="dxa"/>
            <w:vAlign w:val="center"/>
          </w:tcPr>
          <w:p w14:paraId="679AE3F5">
            <w:pPr>
              <w:spacing w:line="600" w:lineRule="exact"/>
              <w:jc w:val="center"/>
              <w:rPr>
                <w:rFonts w:hint="eastAsia" w:ascii="宋体" w:hAnsi="宋体"/>
                <w:b/>
                <w:sz w:val="18"/>
                <w:szCs w:val="18"/>
              </w:rPr>
            </w:pPr>
            <w:r>
              <w:rPr>
                <w:rFonts w:hint="eastAsia" w:ascii="宋体" w:hAnsi="宋体"/>
                <w:b/>
                <w:sz w:val="18"/>
                <w:szCs w:val="18"/>
              </w:rPr>
              <w:t>第十二周</w:t>
            </w:r>
          </w:p>
          <w:p w14:paraId="12C1789C">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11/</w:t>
            </w:r>
            <w:r>
              <w:rPr>
                <w:rFonts w:hint="eastAsia" w:ascii="宋体" w:hAnsi="宋体"/>
                <w:b/>
                <w:sz w:val="18"/>
                <w:szCs w:val="18"/>
                <w:lang w:val="en-US" w:eastAsia="zh-CN"/>
              </w:rPr>
              <w:t>18</w:t>
            </w:r>
            <w:r>
              <w:rPr>
                <w:rFonts w:hint="eastAsia" w:ascii="宋体" w:hAnsi="宋体"/>
                <w:b/>
                <w:sz w:val="18"/>
                <w:szCs w:val="18"/>
              </w:rPr>
              <w:t>～2</w:t>
            </w:r>
            <w:r>
              <w:rPr>
                <w:rFonts w:hint="eastAsia" w:ascii="宋体" w:hAnsi="宋体"/>
                <w:b/>
                <w:sz w:val="18"/>
                <w:szCs w:val="18"/>
                <w:lang w:val="en-US" w:eastAsia="zh-CN"/>
              </w:rPr>
              <w:t>2</w:t>
            </w:r>
          </w:p>
        </w:tc>
        <w:tc>
          <w:tcPr>
            <w:tcW w:w="6029" w:type="dxa"/>
            <w:vAlign w:val="center"/>
          </w:tcPr>
          <w:p w14:paraId="28EA9B79">
            <w:pPr>
              <w:rPr>
                <w:rFonts w:hint="eastAsia" w:ascii="宋体" w:hAnsi="宋体"/>
                <w:b/>
                <w:sz w:val="18"/>
                <w:szCs w:val="18"/>
              </w:rPr>
            </w:pPr>
            <w:r>
              <w:rPr>
                <w:rFonts w:hint="eastAsia" w:ascii="宋体" w:hAnsi="宋体"/>
                <w:b/>
                <w:bCs/>
                <w:sz w:val="18"/>
                <w:szCs w:val="18"/>
                <w:shd w:val="clear" w:color="FFFFFF" w:fill="D9D9D9"/>
              </w:rPr>
              <w:t>教研组</w:t>
            </w:r>
            <w:r>
              <w:rPr>
                <w:rFonts w:hint="eastAsia" w:ascii="宋体" w:hAnsi="宋体"/>
                <w:b/>
                <w:bCs/>
                <w:sz w:val="18"/>
                <w:szCs w:val="18"/>
                <w:shd w:val="clear" w:color="FFFFFF" w:fill="D9D9D9"/>
                <w:lang w:val="en-US" w:eastAsia="zh-CN"/>
              </w:rPr>
              <w:t>研究</w:t>
            </w:r>
            <w:r>
              <w:rPr>
                <w:rFonts w:hint="eastAsia" w:ascii="宋体" w:hAnsi="宋体"/>
                <w:b/>
                <w:bCs/>
                <w:sz w:val="18"/>
                <w:szCs w:val="18"/>
                <w:shd w:val="clear" w:color="FFFFFF" w:fill="D9D9D9"/>
              </w:rPr>
              <w:t>活动——期中质量检测分析</w:t>
            </w:r>
          </w:p>
          <w:p w14:paraId="4ADA0584">
            <w:pPr>
              <w:rPr>
                <w:rFonts w:hint="default" w:ascii="宋体" w:hAnsi="宋体" w:eastAsia="宋体"/>
                <w:b w:val="0"/>
                <w:bCs w:val="0"/>
                <w:color w:val="000000" w:themeColor="text1"/>
                <w:sz w:val="18"/>
                <w:szCs w:val="18"/>
                <w:shd w:val="clear" w:color="auto" w:fill="auto"/>
                <w:lang w:val="en-US" w:eastAsia="zh-CN"/>
                <w14:textFill>
                  <w14:solidFill>
                    <w14:schemeClr w14:val="tx1"/>
                  </w14:solidFill>
                </w14:textFill>
              </w:rPr>
            </w:pPr>
            <w:r>
              <w:rPr>
                <w:rFonts w:hint="eastAsia" w:ascii="宋体" w:hAnsi="宋体"/>
                <w:b w:val="0"/>
                <w:bCs w:val="0"/>
                <w:color w:val="000000" w:themeColor="text1"/>
                <w:sz w:val="18"/>
                <w:szCs w:val="18"/>
                <w:shd w:val="clear" w:color="auto" w:fill="auto"/>
                <w:lang w:val="en-US" w:eastAsia="zh-CN"/>
                <w14:textFill>
                  <w14:solidFill>
                    <w14:schemeClr w14:val="tx1"/>
                  </w14:solidFill>
                </w14:textFill>
              </w:rPr>
              <w:t>1.教研组内进行期中质量检测分析，同时分享命题研究。</w:t>
            </w:r>
          </w:p>
          <w:p w14:paraId="4CCDC970">
            <w:pPr>
              <w:rPr>
                <w:rFonts w:ascii="宋体" w:hAnsi="宋体"/>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2</w:t>
            </w:r>
            <w:r>
              <w:rPr>
                <w:rFonts w:hint="default" w:ascii="宋体" w:hAnsi="宋体" w:cs="宋体"/>
                <w:color w:val="000000" w:themeColor="text1"/>
                <w:kern w:val="0"/>
                <w:sz w:val="18"/>
                <w:szCs w:val="18"/>
                <w:lang w:val="en-US" w:eastAsia="zh-CN"/>
                <w14:textFill>
                  <w14:solidFill>
                    <w14:schemeClr w14:val="tx1"/>
                  </w14:solidFill>
                </w14:textFill>
              </w:rPr>
              <w:t>.</w:t>
            </w:r>
            <w:r>
              <w:rPr>
                <w:rFonts w:hint="eastAsia" w:ascii="宋体" w:hAnsi="宋体" w:cs="宋体"/>
                <w:color w:val="000000" w:themeColor="text1"/>
                <w:kern w:val="0"/>
                <w:sz w:val="18"/>
                <w:szCs w:val="18"/>
                <w:lang w:val="en-US" w:eastAsia="zh-CN"/>
                <w14:textFill>
                  <w14:solidFill>
                    <w14:schemeClr w14:val="tx1"/>
                  </w14:solidFill>
                </w14:textFill>
              </w:rPr>
              <w:t>参加</w:t>
            </w:r>
            <w:r>
              <w:rPr>
                <w:rFonts w:hint="default" w:ascii="宋体" w:hAnsi="宋体" w:cs="宋体"/>
                <w:color w:val="000000" w:themeColor="text1"/>
                <w:kern w:val="0"/>
                <w:sz w:val="18"/>
                <w:szCs w:val="18"/>
                <w:lang w:val="en-US" w:eastAsia="zh-CN"/>
                <w14:textFill>
                  <w14:solidFill>
                    <w14:schemeClr w14:val="tx1"/>
                  </w14:solidFill>
                </w14:textFill>
              </w:rPr>
              <w:t>小学数学“综合与实践”大单元整体教学研究暨智慧教育学习展示活动（一年级《生活中的位置》）</w:t>
            </w:r>
          </w:p>
        </w:tc>
        <w:tc>
          <w:tcPr>
            <w:tcW w:w="1260" w:type="dxa"/>
            <w:vAlign w:val="center"/>
          </w:tcPr>
          <w:p w14:paraId="6FA4C7A5">
            <w:pPr>
              <w:jc w:val="center"/>
              <w:rPr>
                <w:rFonts w:hint="eastAsia" w:ascii="宋体" w:hAnsi="宋体"/>
                <w:sz w:val="18"/>
                <w:szCs w:val="18"/>
              </w:rPr>
            </w:pPr>
            <w:r>
              <w:rPr>
                <w:rFonts w:hint="eastAsia" w:ascii="宋体" w:hAnsi="宋体"/>
                <w:sz w:val="18"/>
                <w:szCs w:val="18"/>
              </w:rPr>
              <w:t>教研组长</w:t>
            </w:r>
          </w:p>
          <w:p w14:paraId="74E61E56">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3BFBEB2D">
            <w:pPr>
              <w:jc w:val="center"/>
              <w:rPr>
                <w:rFonts w:hint="eastAsia" w:ascii="宋体" w:hAnsi="宋体"/>
                <w:sz w:val="18"/>
                <w:szCs w:val="18"/>
                <w:lang w:eastAsia="zh-CN"/>
              </w:rPr>
            </w:pPr>
            <w:r>
              <w:rPr>
                <w:rFonts w:hint="eastAsia" w:ascii="宋体" w:hAnsi="宋体"/>
                <w:sz w:val="18"/>
                <w:szCs w:val="18"/>
                <w:lang w:eastAsia="zh-CN"/>
              </w:rPr>
              <w:t>期中质量</w:t>
            </w:r>
          </w:p>
          <w:p w14:paraId="7B1AC308">
            <w:pPr>
              <w:jc w:val="center"/>
              <w:rPr>
                <w:rFonts w:hint="eastAsia" w:ascii="宋体" w:hAnsi="宋体" w:eastAsia="宋体"/>
                <w:sz w:val="18"/>
                <w:szCs w:val="18"/>
                <w:lang w:eastAsia="zh-CN"/>
              </w:rPr>
            </w:pPr>
            <w:r>
              <w:rPr>
                <w:rFonts w:hint="eastAsia" w:ascii="宋体" w:hAnsi="宋体"/>
                <w:sz w:val="18"/>
                <w:szCs w:val="18"/>
                <w:lang w:eastAsia="zh-CN"/>
              </w:rPr>
              <w:t>调研</w:t>
            </w:r>
          </w:p>
        </w:tc>
      </w:tr>
      <w:tr w14:paraId="4566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1279" w:type="dxa"/>
            <w:vAlign w:val="center"/>
          </w:tcPr>
          <w:p w14:paraId="3C4BEAB7">
            <w:pPr>
              <w:spacing w:line="600" w:lineRule="exact"/>
              <w:jc w:val="center"/>
              <w:rPr>
                <w:rFonts w:hint="eastAsia" w:ascii="宋体" w:hAnsi="宋体"/>
                <w:b/>
                <w:sz w:val="18"/>
                <w:szCs w:val="18"/>
              </w:rPr>
            </w:pPr>
            <w:r>
              <w:rPr>
                <w:rFonts w:hint="eastAsia" w:ascii="宋体" w:hAnsi="宋体"/>
                <w:b/>
                <w:sz w:val="18"/>
                <w:szCs w:val="18"/>
              </w:rPr>
              <w:t>第十三周</w:t>
            </w:r>
          </w:p>
          <w:p w14:paraId="1BF69F55">
            <w:pPr>
              <w:spacing w:line="600" w:lineRule="exact"/>
              <w:jc w:val="both"/>
              <w:rPr>
                <w:rFonts w:hint="default" w:ascii="宋体" w:hAnsi="宋体" w:eastAsia="宋体"/>
                <w:b/>
                <w:sz w:val="18"/>
                <w:szCs w:val="18"/>
                <w:lang w:val="en-US" w:eastAsia="zh-CN"/>
              </w:rPr>
            </w:pPr>
            <w:r>
              <w:rPr>
                <w:rFonts w:hint="eastAsia" w:ascii="宋体" w:hAnsi="宋体"/>
                <w:b/>
                <w:sz w:val="18"/>
                <w:szCs w:val="18"/>
              </w:rPr>
              <w:t>11/</w:t>
            </w:r>
            <w:r>
              <w:rPr>
                <w:rFonts w:hint="eastAsia" w:ascii="宋体" w:hAnsi="宋体"/>
                <w:b/>
                <w:sz w:val="18"/>
                <w:szCs w:val="18"/>
                <w:lang w:val="en-US" w:eastAsia="zh-CN"/>
              </w:rPr>
              <w:t>22</w:t>
            </w:r>
            <w:r>
              <w:rPr>
                <w:rFonts w:hint="eastAsia" w:ascii="宋体" w:hAnsi="宋体"/>
                <w:b/>
                <w:sz w:val="18"/>
                <w:szCs w:val="18"/>
              </w:rPr>
              <w:t>～</w:t>
            </w:r>
            <w:r>
              <w:rPr>
                <w:rFonts w:hint="eastAsia" w:ascii="宋体" w:hAnsi="宋体"/>
                <w:b/>
                <w:sz w:val="18"/>
                <w:szCs w:val="18"/>
                <w:lang w:val="en-US" w:eastAsia="zh-CN"/>
              </w:rPr>
              <w:t>29</w:t>
            </w:r>
          </w:p>
        </w:tc>
        <w:tc>
          <w:tcPr>
            <w:tcW w:w="6029" w:type="dxa"/>
            <w:vAlign w:val="center"/>
          </w:tcPr>
          <w:p w14:paraId="4DF9F60C">
            <w:pPr>
              <w:rPr>
                <w:rFonts w:hint="eastAsia" w:ascii="宋体" w:hAnsi="宋体"/>
                <w:b/>
                <w:bCs/>
                <w:sz w:val="18"/>
                <w:szCs w:val="18"/>
                <w:shd w:val="clear" w:color="FFFFFF" w:fill="D9D9D9"/>
              </w:rPr>
            </w:pPr>
            <w:r>
              <w:rPr>
                <w:rFonts w:hint="eastAsia" w:ascii="宋体" w:hAnsi="宋体"/>
                <w:b/>
                <w:bCs/>
                <w:sz w:val="18"/>
                <w:szCs w:val="18"/>
                <w:shd w:val="clear" w:color="FFFFFF" w:fill="D9D9D9"/>
              </w:rPr>
              <w:t>备课组专题研讨</w:t>
            </w:r>
          </w:p>
          <w:p w14:paraId="7BA66384">
            <w:pPr>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备课组集体备课</w:t>
            </w:r>
            <w:r>
              <w:rPr>
                <w:rFonts w:hint="eastAsia" w:ascii="宋体" w:hAnsi="宋体"/>
                <w:sz w:val="18"/>
                <w:szCs w:val="18"/>
                <w:lang w:eastAsia="zh-CN"/>
              </w:rPr>
              <w:t>，根据期中质量分析反映出的问题调整后续教学计划</w:t>
            </w:r>
            <w:r>
              <w:rPr>
                <w:rFonts w:hint="eastAsia" w:ascii="宋体" w:hAnsi="宋体"/>
                <w:sz w:val="18"/>
                <w:szCs w:val="18"/>
              </w:rPr>
              <w:t>。</w:t>
            </w:r>
          </w:p>
          <w:p w14:paraId="78676FCC">
            <w:pPr>
              <w:tabs>
                <w:tab w:val="left" w:pos="2232"/>
              </w:tabs>
              <w:spacing w:line="30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2.进行</w:t>
            </w:r>
            <w:r>
              <w:rPr>
                <w:rFonts w:hint="eastAsia" w:ascii="宋体" w:hAnsi="宋体"/>
                <w:color w:val="000000" w:themeColor="text1"/>
                <w:sz w:val="18"/>
                <w:szCs w:val="18"/>
                <w14:textFill>
                  <w14:solidFill>
                    <w14:schemeClr w14:val="tx1"/>
                  </w14:solidFill>
                </w14:textFill>
              </w:rPr>
              <w:t>备课、听课、作业批改常规调研。</w:t>
            </w:r>
          </w:p>
        </w:tc>
        <w:tc>
          <w:tcPr>
            <w:tcW w:w="1260" w:type="dxa"/>
            <w:vAlign w:val="center"/>
          </w:tcPr>
          <w:p w14:paraId="4D373FEE">
            <w:pPr>
              <w:jc w:val="center"/>
              <w:rPr>
                <w:rFonts w:hint="eastAsia" w:ascii="宋体" w:hAnsi="宋体"/>
                <w:sz w:val="18"/>
                <w:szCs w:val="18"/>
              </w:rPr>
            </w:pPr>
            <w:r>
              <w:rPr>
                <w:rFonts w:hint="eastAsia" w:ascii="宋体" w:hAnsi="宋体"/>
                <w:sz w:val="18"/>
                <w:szCs w:val="18"/>
              </w:rPr>
              <w:t>教研组长</w:t>
            </w:r>
          </w:p>
          <w:p w14:paraId="272BF3B2">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22B37E9E">
            <w:pPr>
              <w:jc w:val="center"/>
              <w:rPr>
                <w:rFonts w:hint="default" w:ascii="宋体" w:hAnsi="宋体" w:eastAsia="宋体"/>
                <w:sz w:val="18"/>
                <w:szCs w:val="18"/>
                <w:lang w:val="en-US" w:eastAsia="zh-CN"/>
              </w:rPr>
            </w:pPr>
            <w:r>
              <w:rPr>
                <w:rFonts w:hint="eastAsia" w:ascii="宋体" w:hAnsi="宋体"/>
                <w:sz w:val="18"/>
                <w:szCs w:val="18"/>
                <w:lang w:val="en-US" w:eastAsia="zh-CN"/>
              </w:rPr>
              <w:t>集体备课</w:t>
            </w:r>
          </w:p>
        </w:tc>
      </w:tr>
      <w:tr w14:paraId="56161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279" w:type="dxa"/>
            <w:vAlign w:val="center"/>
          </w:tcPr>
          <w:p w14:paraId="295172E1">
            <w:pPr>
              <w:spacing w:line="600" w:lineRule="exact"/>
              <w:jc w:val="center"/>
              <w:rPr>
                <w:rFonts w:hint="eastAsia" w:ascii="宋体" w:hAnsi="宋体"/>
                <w:b/>
                <w:sz w:val="18"/>
                <w:szCs w:val="18"/>
              </w:rPr>
            </w:pPr>
            <w:r>
              <w:rPr>
                <w:rFonts w:hint="eastAsia" w:ascii="宋体" w:hAnsi="宋体"/>
                <w:b/>
                <w:sz w:val="18"/>
                <w:szCs w:val="18"/>
              </w:rPr>
              <w:t>第十四周</w:t>
            </w:r>
          </w:p>
          <w:p w14:paraId="0D38C979">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12/</w:t>
            </w:r>
            <w:r>
              <w:rPr>
                <w:rFonts w:hint="eastAsia" w:ascii="宋体" w:hAnsi="宋体"/>
                <w:b/>
                <w:sz w:val="18"/>
                <w:szCs w:val="18"/>
                <w:lang w:val="en-US" w:eastAsia="zh-CN"/>
              </w:rPr>
              <w:t>2</w:t>
            </w:r>
            <w:r>
              <w:rPr>
                <w:rFonts w:hint="eastAsia" w:ascii="宋体" w:hAnsi="宋体"/>
                <w:b/>
                <w:sz w:val="18"/>
                <w:szCs w:val="18"/>
              </w:rPr>
              <w:t>～</w:t>
            </w:r>
            <w:r>
              <w:rPr>
                <w:rFonts w:hint="eastAsia" w:ascii="宋体" w:hAnsi="宋体"/>
                <w:b/>
                <w:sz w:val="18"/>
                <w:szCs w:val="18"/>
                <w:lang w:val="en-US" w:eastAsia="zh-CN"/>
              </w:rPr>
              <w:t>6</w:t>
            </w:r>
          </w:p>
        </w:tc>
        <w:tc>
          <w:tcPr>
            <w:tcW w:w="6029" w:type="dxa"/>
            <w:vAlign w:val="center"/>
          </w:tcPr>
          <w:p w14:paraId="574341A4">
            <w:pPr>
              <w:rPr>
                <w:rFonts w:hint="default" w:ascii="宋体" w:hAnsi="宋体" w:eastAsia="宋体"/>
                <w:b/>
                <w:sz w:val="18"/>
                <w:szCs w:val="18"/>
                <w:shd w:val="pct10" w:color="auto" w:fill="FFFFFF"/>
                <w:lang w:val="en-US" w:eastAsia="zh-CN"/>
              </w:rPr>
            </w:pPr>
            <w:r>
              <w:rPr>
                <w:rFonts w:hint="eastAsia" w:ascii="宋体" w:hAnsi="宋体"/>
                <w:b/>
                <w:bCs/>
                <w:sz w:val="18"/>
                <w:szCs w:val="18"/>
                <w:shd w:val="clear" w:color="FFFFFF" w:fill="D9D9D9"/>
              </w:rPr>
              <w:t>教研组研究活动——</w:t>
            </w:r>
            <w:r>
              <w:rPr>
                <w:rFonts w:hint="eastAsia" w:ascii="宋体" w:hAnsi="宋体"/>
                <w:b/>
                <w:bCs/>
                <w:sz w:val="18"/>
                <w:szCs w:val="18"/>
                <w:shd w:val="clear" w:color="FFFFFF" w:fill="D9D9D9"/>
                <w:lang w:eastAsia="zh-CN"/>
              </w:rPr>
              <w:t>计算教学研究课</w:t>
            </w:r>
            <w:r>
              <w:rPr>
                <w:rFonts w:hint="eastAsia" w:ascii="宋体" w:hAnsi="宋体"/>
                <w:b/>
                <w:bCs/>
                <w:sz w:val="18"/>
                <w:szCs w:val="18"/>
                <w:shd w:val="clear" w:color="FFFFFF" w:fill="D9D9D9"/>
                <w:lang w:val="en-US" w:eastAsia="zh-CN"/>
              </w:rPr>
              <w:t>3</w:t>
            </w:r>
          </w:p>
          <w:p w14:paraId="789D9516">
            <w:pPr>
              <w:numPr>
                <w:ilvl w:val="0"/>
                <w:numId w:val="0"/>
              </w:numPr>
              <w:rPr>
                <w:rFonts w:hint="eastAsia" w:ascii="宋体" w:hAnsi="宋体"/>
                <w:bCs/>
                <w:snapToGrid w:val="0"/>
                <w:color w:val="000000" w:themeColor="text1"/>
                <w:kern w:val="0"/>
                <w:sz w:val="18"/>
                <w:szCs w:val="18"/>
                <w:lang w:eastAsia="zh-CN"/>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1.</w:t>
            </w:r>
            <w:r>
              <w:rPr>
                <w:rFonts w:hint="eastAsia" w:ascii="宋体" w:hAnsi="宋体"/>
                <w:bCs/>
                <w:snapToGrid w:val="0"/>
                <w:color w:val="000000" w:themeColor="text1"/>
                <w:kern w:val="0"/>
                <w:sz w:val="18"/>
                <w:szCs w:val="18"/>
                <w14:textFill>
                  <w14:solidFill>
                    <w14:schemeClr w14:val="tx1"/>
                  </w14:solidFill>
                </w14:textFill>
              </w:rPr>
              <w:t>计算教学研究课</w:t>
            </w:r>
            <w:r>
              <w:rPr>
                <w:rFonts w:hint="eastAsia" w:ascii="宋体" w:hAnsi="宋体"/>
                <w:bCs/>
                <w:snapToGrid w:val="0"/>
                <w:color w:val="000000" w:themeColor="text1"/>
                <w:kern w:val="0"/>
                <w:sz w:val="18"/>
                <w:szCs w:val="18"/>
                <w:lang w:val="en-US" w:eastAsia="zh-CN"/>
                <w14:textFill>
                  <w14:solidFill>
                    <w14:schemeClr w14:val="tx1"/>
                  </w14:solidFill>
                </w14:textFill>
              </w:rPr>
              <w:t>3</w:t>
            </w:r>
            <w:r>
              <w:rPr>
                <w:rFonts w:hint="eastAsia" w:ascii="宋体" w:hAnsi="宋体"/>
                <w:bCs/>
                <w:snapToGrid w:val="0"/>
                <w:color w:val="000000" w:themeColor="text1"/>
                <w:kern w:val="0"/>
                <w:sz w:val="18"/>
                <w:szCs w:val="18"/>
                <w:lang w:eastAsia="zh-CN"/>
                <w14:textFill>
                  <w14:solidFill>
                    <w14:schemeClr w14:val="tx1"/>
                  </w14:solidFill>
                </w14:textFill>
              </w:rPr>
              <w:t>（</w:t>
            </w:r>
            <w:r>
              <w:rPr>
                <w:rFonts w:hint="eastAsia" w:ascii="宋体" w:hAnsi="宋体"/>
                <w:bCs/>
                <w:snapToGrid w:val="0"/>
                <w:color w:val="000000" w:themeColor="text1"/>
                <w:kern w:val="0"/>
                <w:sz w:val="18"/>
                <w:szCs w:val="18"/>
                <w:lang w:val="en-US" w:eastAsia="zh-CN"/>
                <w14:textFill>
                  <w14:solidFill>
                    <w14:schemeClr w14:val="tx1"/>
                  </w14:solidFill>
                </w14:textFill>
              </w:rPr>
              <w:t>四年级：混合运算</w:t>
            </w:r>
            <w:r>
              <w:rPr>
                <w:rFonts w:hint="eastAsia" w:ascii="宋体" w:hAnsi="宋体"/>
                <w:bCs/>
                <w:snapToGrid w:val="0"/>
                <w:color w:val="000000" w:themeColor="text1"/>
                <w:kern w:val="0"/>
                <w:sz w:val="18"/>
                <w:szCs w:val="18"/>
                <w:lang w:eastAsia="zh-CN"/>
                <w14:textFill>
                  <w14:solidFill>
                    <w14:schemeClr w14:val="tx1"/>
                  </w14:solidFill>
                </w14:textFill>
              </w:rPr>
              <w:t>）</w:t>
            </w:r>
          </w:p>
          <w:p w14:paraId="13823B46">
            <w:pPr>
              <w:numPr>
                <w:ilvl w:val="0"/>
                <w:numId w:val="0"/>
              </w:numPr>
              <w:rPr>
                <w:rFonts w:hint="eastAsia" w:ascii="宋体" w:hAnsi="宋体"/>
                <w:bCs/>
                <w:snapToGrid w:val="0"/>
                <w:color w:val="000000" w:themeColor="text1"/>
                <w:kern w:val="0"/>
                <w:sz w:val="18"/>
                <w:szCs w:val="18"/>
                <w:lang w:eastAsia="zh-CN"/>
                <w14:textFill>
                  <w14:solidFill>
                    <w14:schemeClr w14:val="tx1"/>
                  </w14:solidFill>
                </w14:textFill>
              </w:rPr>
            </w:pPr>
            <w:r>
              <w:rPr>
                <w:rFonts w:hint="eastAsia" w:ascii="宋体" w:hAnsi="宋体"/>
                <w:bCs/>
                <w:snapToGrid w:val="0"/>
                <w:color w:val="000000" w:themeColor="text1"/>
                <w:kern w:val="0"/>
                <w:sz w:val="18"/>
                <w:szCs w:val="18"/>
                <w:lang w:val="en-US" w:eastAsia="zh-CN"/>
                <w14:textFill>
                  <w14:solidFill>
                    <w14:schemeClr w14:val="tx1"/>
                  </w14:solidFill>
                </w14:textFill>
              </w:rPr>
              <w:t>2.</w:t>
            </w:r>
            <w:r>
              <w:rPr>
                <w:rFonts w:hint="eastAsia" w:ascii="宋体" w:hAnsi="宋体"/>
                <w:bCs/>
                <w:snapToGrid w:val="0"/>
                <w:color w:val="000000" w:themeColor="text1"/>
                <w:kern w:val="0"/>
                <w:sz w:val="18"/>
                <w:szCs w:val="18"/>
                <w:lang w:eastAsia="zh-CN"/>
                <w14:textFill>
                  <w14:solidFill>
                    <w14:schemeClr w14:val="tx1"/>
                  </w14:solidFill>
                </w14:textFill>
              </w:rPr>
              <w:t>数学基本功常态训练。</w:t>
            </w:r>
          </w:p>
          <w:p w14:paraId="7292CE12">
            <w:pPr>
              <w:rPr>
                <w:rFonts w:hint="eastAsia" w:ascii="宋体" w:hAnsi="宋体"/>
                <w:bCs/>
                <w:snapToGrid w:val="0"/>
                <w:color w:val="FF0000"/>
                <w:kern w:val="0"/>
                <w:sz w:val="18"/>
                <w:szCs w:val="18"/>
                <w:lang w:eastAsia="zh-CN"/>
              </w:rPr>
            </w:pPr>
            <w:r>
              <w:rPr>
                <w:rFonts w:hint="eastAsia" w:ascii="宋体" w:hAnsi="宋体"/>
                <w:bCs/>
                <w:snapToGrid w:val="0"/>
                <w:color w:val="000000" w:themeColor="text1"/>
                <w:kern w:val="0"/>
                <w:sz w:val="18"/>
                <w:szCs w:val="18"/>
                <w:lang w:val="en-US" w:eastAsia="zh-CN"/>
                <w14:textFill>
                  <w14:solidFill>
                    <w14:schemeClr w14:val="tx1"/>
                  </w14:solidFill>
                </w14:textFill>
              </w:rPr>
              <w:t>3.</w:t>
            </w:r>
            <w:r>
              <w:rPr>
                <w:rFonts w:hint="eastAsia" w:ascii="宋体" w:hAnsi="宋体"/>
                <w:bCs/>
                <w:snapToGrid w:val="0"/>
                <w:color w:val="000000" w:themeColor="text1"/>
                <w:kern w:val="0"/>
                <w:sz w:val="18"/>
                <w:szCs w:val="18"/>
                <w:lang w:eastAsia="zh-CN"/>
                <w14:textFill>
                  <w14:solidFill>
                    <w14:schemeClr w14:val="tx1"/>
                  </w14:solidFill>
                </w14:textFill>
              </w:rPr>
              <w:t>参加小学数学新教师课堂教学展示活动暨集团联盟校校本教研交流展示活动。</w:t>
            </w:r>
          </w:p>
        </w:tc>
        <w:tc>
          <w:tcPr>
            <w:tcW w:w="1260" w:type="dxa"/>
            <w:vAlign w:val="center"/>
          </w:tcPr>
          <w:p w14:paraId="1839D539">
            <w:pPr>
              <w:jc w:val="center"/>
              <w:rPr>
                <w:rFonts w:hint="eastAsia" w:ascii="宋体" w:hAnsi="宋体"/>
                <w:sz w:val="18"/>
                <w:szCs w:val="18"/>
              </w:rPr>
            </w:pPr>
            <w:r>
              <w:rPr>
                <w:rFonts w:hint="eastAsia" w:ascii="宋体" w:hAnsi="宋体"/>
                <w:sz w:val="18"/>
                <w:szCs w:val="18"/>
              </w:rPr>
              <w:t>教研组长</w:t>
            </w:r>
          </w:p>
          <w:p w14:paraId="21651A9D">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17B72A4D">
            <w:pPr>
              <w:jc w:val="center"/>
              <w:rPr>
                <w:rFonts w:hint="eastAsia" w:ascii="宋体" w:hAnsi="宋体"/>
                <w:sz w:val="18"/>
                <w:szCs w:val="18"/>
              </w:rPr>
            </w:pPr>
            <w:r>
              <w:rPr>
                <w:rFonts w:hint="eastAsia" w:ascii="宋体" w:hAnsi="宋体"/>
                <w:sz w:val="18"/>
                <w:szCs w:val="18"/>
              </w:rPr>
              <w:t>课堂教学</w:t>
            </w:r>
          </w:p>
          <w:p w14:paraId="7481B7B4">
            <w:pPr>
              <w:jc w:val="center"/>
              <w:rPr>
                <w:rFonts w:hint="eastAsia" w:ascii="宋体" w:hAnsi="宋体"/>
                <w:sz w:val="18"/>
                <w:szCs w:val="18"/>
              </w:rPr>
            </w:pPr>
            <w:r>
              <w:rPr>
                <w:rFonts w:hint="eastAsia" w:ascii="宋体" w:hAnsi="宋体"/>
                <w:sz w:val="18"/>
                <w:szCs w:val="18"/>
              </w:rPr>
              <w:t>沙龙研讨</w:t>
            </w:r>
          </w:p>
        </w:tc>
      </w:tr>
      <w:tr w14:paraId="04ED1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279" w:type="dxa"/>
            <w:vAlign w:val="center"/>
          </w:tcPr>
          <w:p w14:paraId="3E9A3D75">
            <w:pPr>
              <w:spacing w:line="600" w:lineRule="exact"/>
              <w:jc w:val="center"/>
              <w:rPr>
                <w:rFonts w:hint="eastAsia" w:ascii="宋体" w:hAnsi="宋体"/>
                <w:b/>
                <w:sz w:val="18"/>
                <w:szCs w:val="18"/>
              </w:rPr>
            </w:pPr>
            <w:r>
              <w:rPr>
                <w:rFonts w:hint="eastAsia" w:ascii="宋体" w:hAnsi="宋体"/>
                <w:b/>
                <w:sz w:val="18"/>
                <w:szCs w:val="18"/>
              </w:rPr>
              <w:t>第十五周</w:t>
            </w:r>
          </w:p>
          <w:p w14:paraId="0CCFD2D6">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12/</w:t>
            </w:r>
            <w:r>
              <w:rPr>
                <w:rFonts w:hint="eastAsia" w:ascii="宋体" w:hAnsi="宋体"/>
                <w:b/>
                <w:sz w:val="18"/>
                <w:szCs w:val="18"/>
                <w:lang w:val="en-US" w:eastAsia="zh-CN"/>
              </w:rPr>
              <w:t>9</w:t>
            </w:r>
            <w:r>
              <w:rPr>
                <w:rFonts w:hint="eastAsia" w:ascii="宋体" w:hAnsi="宋体"/>
                <w:b/>
                <w:sz w:val="18"/>
                <w:szCs w:val="18"/>
              </w:rPr>
              <w:t>～1</w:t>
            </w:r>
            <w:r>
              <w:rPr>
                <w:rFonts w:hint="eastAsia" w:ascii="宋体" w:hAnsi="宋体"/>
                <w:b/>
                <w:sz w:val="18"/>
                <w:szCs w:val="18"/>
                <w:lang w:val="en-US" w:eastAsia="zh-CN"/>
              </w:rPr>
              <w:t>3</w:t>
            </w:r>
          </w:p>
        </w:tc>
        <w:tc>
          <w:tcPr>
            <w:tcW w:w="6029" w:type="dxa"/>
            <w:vAlign w:val="center"/>
          </w:tcPr>
          <w:p w14:paraId="249DE4B0">
            <w:pPr>
              <w:rPr>
                <w:rFonts w:hint="eastAsia" w:ascii="宋体" w:hAnsi="宋体"/>
                <w:b/>
                <w:sz w:val="18"/>
                <w:szCs w:val="18"/>
                <w:shd w:val="pct10" w:color="auto" w:fill="FFFFFF"/>
              </w:rPr>
            </w:pPr>
            <w:r>
              <w:rPr>
                <w:rFonts w:hint="eastAsia" w:ascii="宋体" w:hAnsi="宋体"/>
                <w:b/>
                <w:sz w:val="18"/>
                <w:szCs w:val="18"/>
                <w:shd w:val="pct10" w:color="auto" w:fill="FFFFFF"/>
              </w:rPr>
              <w:t>备课组集体备课</w:t>
            </w:r>
          </w:p>
          <w:p w14:paraId="00A3840D">
            <w:pPr>
              <w:rPr>
                <w:rFonts w:hint="eastAsia" w:ascii="宋体" w:hAnsi="宋体"/>
                <w:bCs/>
                <w:color w:val="000000" w:themeColor="text1"/>
                <w:sz w:val="18"/>
                <w:szCs w:val="18"/>
                <w:lang w:eastAsia="zh-CN"/>
                <w14:textFill>
                  <w14:solidFill>
                    <w14:schemeClr w14:val="tx1"/>
                  </w14:solidFill>
                </w14:textFill>
              </w:rPr>
            </w:pPr>
            <w:r>
              <w:rPr>
                <w:rFonts w:hint="eastAsia" w:ascii="宋体" w:hAnsi="宋体"/>
                <w:bCs/>
                <w:color w:val="000000" w:themeColor="text1"/>
                <w:sz w:val="18"/>
                <w:szCs w:val="18"/>
                <w:lang w:val="en-US" w:eastAsia="zh-CN"/>
                <w14:textFill>
                  <w14:solidFill>
                    <w14:schemeClr w14:val="tx1"/>
                  </w14:solidFill>
                </w14:textFill>
              </w:rPr>
              <w:t>1.交流</w:t>
            </w:r>
            <w:r>
              <w:rPr>
                <w:rFonts w:hint="eastAsia" w:ascii="宋体" w:hAnsi="宋体"/>
                <w:bCs/>
                <w:color w:val="000000" w:themeColor="text1"/>
                <w:sz w:val="18"/>
                <w:szCs w:val="18"/>
                <w14:textFill>
                  <w14:solidFill>
                    <w14:schemeClr w14:val="tx1"/>
                  </w14:solidFill>
                </w14:textFill>
              </w:rPr>
              <w:t>提优补差落实情况。</w:t>
            </w:r>
            <w:r>
              <w:rPr>
                <w:rFonts w:hint="eastAsia" w:ascii="宋体" w:hAnsi="宋体"/>
                <w:bCs/>
                <w:color w:val="000000" w:themeColor="text1"/>
                <w:sz w:val="18"/>
                <w:szCs w:val="18"/>
                <w:lang w:eastAsia="zh-CN"/>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形成电子文本</w:t>
            </w:r>
            <w:r>
              <w:rPr>
                <w:rFonts w:hint="eastAsia" w:ascii="宋体" w:hAnsi="宋体"/>
                <w:bCs/>
                <w:color w:val="000000" w:themeColor="text1"/>
                <w:sz w:val="18"/>
                <w:szCs w:val="18"/>
                <w:lang w:eastAsia="zh-CN"/>
                <w14:textFill>
                  <w14:solidFill>
                    <w14:schemeClr w14:val="tx1"/>
                  </w14:solidFill>
                </w14:textFill>
              </w:rPr>
              <w:t>）</w:t>
            </w:r>
          </w:p>
          <w:p w14:paraId="27D58569">
            <w:pPr>
              <w:rPr>
                <w:rFonts w:hint="eastAsia" w:ascii="宋体" w:hAnsi="宋体" w:eastAsia="宋体"/>
                <w:sz w:val="18"/>
                <w:szCs w:val="18"/>
                <w:lang w:eastAsia="zh-CN"/>
              </w:rPr>
            </w:pPr>
            <w:r>
              <w:rPr>
                <w:rFonts w:hint="eastAsia" w:ascii="宋体" w:hAnsi="宋体"/>
                <w:bCs/>
                <w:snapToGrid w:val="0"/>
                <w:color w:val="000000" w:themeColor="text1"/>
                <w:kern w:val="0"/>
                <w:sz w:val="18"/>
                <w:szCs w:val="18"/>
                <w:lang w:val="en-US" w:eastAsia="zh-CN"/>
                <w14:textFill>
                  <w14:solidFill>
                    <w14:schemeClr w14:val="tx1"/>
                  </w14:solidFill>
                </w14:textFill>
              </w:rPr>
              <w:t>2.准备</w:t>
            </w:r>
            <w:r>
              <w:rPr>
                <w:rFonts w:hint="eastAsia" w:ascii="宋体" w:hAnsi="宋体"/>
                <w:bCs/>
                <w:snapToGrid w:val="0"/>
                <w:color w:val="000000" w:themeColor="text1"/>
                <w:kern w:val="0"/>
                <w:sz w:val="18"/>
                <w:szCs w:val="18"/>
                <w:lang w:eastAsia="zh-CN"/>
                <w14:textFill>
                  <w14:solidFill>
                    <w14:schemeClr w14:val="tx1"/>
                  </w14:solidFill>
                </w14:textFill>
              </w:rPr>
              <w:t>区</w:t>
            </w:r>
            <w:r>
              <w:rPr>
                <w:rFonts w:hint="eastAsia" w:ascii="宋体" w:hAnsi="宋体"/>
                <w:bCs/>
                <w:snapToGrid w:val="0"/>
                <w:color w:val="000000" w:themeColor="text1"/>
                <w:kern w:val="0"/>
                <w:sz w:val="18"/>
                <w:szCs w:val="18"/>
                <w:lang w:val="en-US" w:eastAsia="zh-CN"/>
                <w14:textFill>
                  <w14:solidFill>
                    <w14:schemeClr w14:val="tx1"/>
                  </w14:solidFill>
                </w14:textFill>
              </w:rPr>
              <w:t>3-6年级</w:t>
            </w:r>
            <w:r>
              <w:rPr>
                <w:rFonts w:hint="eastAsia" w:ascii="宋体" w:hAnsi="宋体"/>
                <w:bCs/>
                <w:snapToGrid w:val="0"/>
                <w:color w:val="000000" w:themeColor="text1"/>
                <w:kern w:val="0"/>
                <w:sz w:val="18"/>
                <w:szCs w:val="18"/>
                <w:lang w:eastAsia="zh-CN"/>
                <w14:textFill>
                  <w14:solidFill>
                    <w14:schemeClr w14:val="tx1"/>
                  </w14:solidFill>
                </w14:textFill>
              </w:rPr>
              <w:t>学业质量常态监测活动。</w:t>
            </w:r>
          </w:p>
        </w:tc>
        <w:tc>
          <w:tcPr>
            <w:tcW w:w="1260" w:type="dxa"/>
            <w:vAlign w:val="center"/>
          </w:tcPr>
          <w:p w14:paraId="70018470">
            <w:pPr>
              <w:jc w:val="center"/>
              <w:rPr>
                <w:rFonts w:ascii="宋体" w:hAnsi="宋体"/>
                <w:sz w:val="18"/>
                <w:szCs w:val="18"/>
              </w:rPr>
            </w:pPr>
            <w:r>
              <w:rPr>
                <w:rFonts w:hint="eastAsia" w:ascii="宋体" w:hAnsi="宋体"/>
                <w:sz w:val="18"/>
                <w:szCs w:val="18"/>
              </w:rPr>
              <w:t>备课组长</w:t>
            </w:r>
          </w:p>
        </w:tc>
        <w:tc>
          <w:tcPr>
            <w:tcW w:w="1260" w:type="dxa"/>
            <w:vAlign w:val="center"/>
          </w:tcPr>
          <w:p w14:paraId="247BE9D7">
            <w:pPr>
              <w:jc w:val="center"/>
              <w:rPr>
                <w:rFonts w:hint="default" w:ascii="宋体" w:hAnsi="宋体" w:eastAsia="宋体"/>
                <w:sz w:val="18"/>
                <w:szCs w:val="18"/>
                <w:lang w:val="en-US" w:eastAsia="zh-CN"/>
              </w:rPr>
            </w:pPr>
            <w:r>
              <w:rPr>
                <w:rFonts w:hint="eastAsia" w:ascii="宋体" w:hAnsi="宋体"/>
                <w:sz w:val="18"/>
                <w:szCs w:val="18"/>
                <w:lang w:val="en-US" w:eastAsia="zh-CN"/>
              </w:rPr>
              <w:t>集体备课</w:t>
            </w:r>
          </w:p>
        </w:tc>
      </w:tr>
      <w:tr w14:paraId="75DB0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1279" w:type="dxa"/>
            <w:vAlign w:val="center"/>
          </w:tcPr>
          <w:p w14:paraId="6AF22B87">
            <w:pPr>
              <w:spacing w:line="600" w:lineRule="exact"/>
              <w:jc w:val="center"/>
              <w:rPr>
                <w:rFonts w:hint="eastAsia" w:ascii="宋体" w:hAnsi="宋体"/>
                <w:b/>
                <w:sz w:val="18"/>
                <w:szCs w:val="18"/>
              </w:rPr>
            </w:pPr>
            <w:r>
              <w:rPr>
                <w:rFonts w:hint="eastAsia" w:ascii="宋体" w:hAnsi="宋体"/>
                <w:b/>
                <w:sz w:val="18"/>
                <w:szCs w:val="18"/>
              </w:rPr>
              <w:t>第十六周</w:t>
            </w:r>
          </w:p>
          <w:p w14:paraId="5CC4CB5E">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12/1</w:t>
            </w:r>
            <w:r>
              <w:rPr>
                <w:rFonts w:hint="eastAsia" w:ascii="宋体" w:hAnsi="宋体"/>
                <w:b/>
                <w:sz w:val="18"/>
                <w:szCs w:val="18"/>
                <w:lang w:val="en-US" w:eastAsia="zh-CN"/>
              </w:rPr>
              <w:t>6</w:t>
            </w:r>
            <w:r>
              <w:rPr>
                <w:rFonts w:hint="eastAsia" w:ascii="宋体" w:hAnsi="宋体"/>
                <w:b/>
                <w:sz w:val="18"/>
                <w:szCs w:val="18"/>
              </w:rPr>
              <w:t>～2</w:t>
            </w:r>
            <w:r>
              <w:rPr>
                <w:rFonts w:hint="eastAsia" w:ascii="宋体" w:hAnsi="宋体"/>
                <w:b/>
                <w:sz w:val="18"/>
                <w:szCs w:val="18"/>
                <w:lang w:val="en-US" w:eastAsia="zh-CN"/>
              </w:rPr>
              <w:t>0</w:t>
            </w:r>
          </w:p>
        </w:tc>
        <w:tc>
          <w:tcPr>
            <w:tcW w:w="6029" w:type="dxa"/>
            <w:vAlign w:val="center"/>
          </w:tcPr>
          <w:p w14:paraId="24D89B57">
            <w:pPr>
              <w:rPr>
                <w:rFonts w:hint="eastAsia" w:ascii="宋体" w:hAnsi="宋体"/>
                <w:b/>
                <w:color w:val="000000" w:themeColor="text1"/>
                <w:sz w:val="18"/>
                <w:szCs w:val="18"/>
                <w:shd w:val="pct10" w:color="auto" w:fill="FFFFFF"/>
                <w14:textFill>
                  <w14:solidFill>
                    <w14:schemeClr w14:val="tx1"/>
                  </w14:solidFill>
                </w14:textFill>
              </w:rPr>
            </w:pPr>
            <w:r>
              <w:rPr>
                <w:rFonts w:hint="eastAsia" w:ascii="宋体" w:hAnsi="宋体"/>
                <w:b/>
                <w:bCs/>
                <w:color w:val="000000" w:themeColor="text1"/>
                <w:sz w:val="18"/>
                <w:szCs w:val="18"/>
                <w:shd w:val="clear" w:color="FFFFFF" w:fill="D9D9D9"/>
                <w14:textFill>
                  <w14:solidFill>
                    <w14:schemeClr w14:val="tx1"/>
                  </w14:solidFill>
                </w14:textFill>
              </w:rPr>
              <w:t>教研组研究活动——</w:t>
            </w:r>
            <w:r>
              <w:rPr>
                <w:rFonts w:hint="eastAsia" w:ascii="宋体" w:hAnsi="宋体"/>
                <w:b/>
                <w:color w:val="000000" w:themeColor="text1"/>
                <w:sz w:val="18"/>
                <w:szCs w:val="18"/>
                <w:shd w:val="pct10" w:color="auto" w:fill="FFFFFF"/>
                <w14:textFill>
                  <w14:solidFill>
                    <w14:schemeClr w14:val="tx1"/>
                  </w14:solidFill>
                </w14:textFill>
              </w:rPr>
              <w:t>常规调研</w:t>
            </w:r>
          </w:p>
          <w:p w14:paraId="429057A1">
            <w:pPr>
              <w:widowControl/>
              <w:numPr>
                <w:ilvl w:val="0"/>
                <w:numId w:val="0"/>
              </w:numPr>
              <w:spacing w:line="24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1.</w:t>
            </w:r>
            <w:r>
              <w:rPr>
                <w:rFonts w:hint="eastAsia" w:ascii="宋体" w:hAnsi="宋体"/>
                <w:color w:val="000000" w:themeColor="text1"/>
                <w:sz w:val="18"/>
                <w:szCs w:val="18"/>
                <w14:textFill>
                  <w14:solidFill>
                    <w14:schemeClr w14:val="tx1"/>
                  </w14:solidFill>
                </w14:textFill>
              </w:rPr>
              <w:t>备课、听课、作业批改常规调研。</w:t>
            </w:r>
          </w:p>
          <w:p w14:paraId="0E19B8AB">
            <w:pPr>
              <w:spacing w:line="240" w:lineRule="auto"/>
              <w:rPr>
                <w:rFonts w:hint="eastAsia" w:ascii="宋体" w:hAnsi="宋体"/>
                <w:sz w:val="18"/>
                <w:szCs w:val="18"/>
              </w:rPr>
            </w:pPr>
            <w:r>
              <w:rPr>
                <w:rFonts w:hint="eastAsia" w:ascii="宋体" w:hAnsi="宋体"/>
                <w:bCs/>
                <w:snapToGrid w:val="0"/>
                <w:color w:val="000000" w:themeColor="text1"/>
                <w:kern w:val="0"/>
                <w:sz w:val="18"/>
                <w:szCs w:val="18"/>
                <w:lang w:val="en-US" w:eastAsia="zh-CN"/>
                <w14:textFill>
                  <w14:solidFill>
                    <w14:schemeClr w14:val="tx1"/>
                  </w14:solidFill>
                </w14:textFill>
              </w:rPr>
              <w:t>2</w:t>
            </w:r>
            <w:r>
              <w:rPr>
                <w:rFonts w:hint="eastAsia" w:ascii="宋体" w:hAnsi="宋体"/>
                <w:bCs/>
                <w:snapToGrid w:val="0"/>
                <w:color w:val="000000" w:themeColor="text1"/>
                <w:kern w:val="0"/>
                <w:sz w:val="18"/>
                <w:szCs w:val="18"/>
                <w:lang w:eastAsia="zh-CN"/>
                <w14:textFill>
                  <w14:solidFill>
                    <w14:schemeClr w14:val="tx1"/>
                  </w14:solidFill>
                </w14:textFill>
              </w:rPr>
              <w:t>.参加常州市小数年会活动。</w:t>
            </w:r>
          </w:p>
        </w:tc>
        <w:tc>
          <w:tcPr>
            <w:tcW w:w="1260" w:type="dxa"/>
            <w:vAlign w:val="center"/>
          </w:tcPr>
          <w:p w14:paraId="55B74625">
            <w:pPr>
              <w:jc w:val="center"/>
              <w:rPr>
                <w:rFonts w:hint="eastAsia" w:ascii="宋体" w:hAnsi="宋体"/>
                <w:sz w:val="18"/>
                <w:szCs w:val="18"/>
              </w:rPr>
            </w:pPr>
            <w:r>
              <w:rPr>
                <w:rFonts w:hint="eastAsia" w:ascii="宋体" w:hAnsi="宋体"/>
                <w:sz w:val="18"/>
                <w:szCs w:val="18"/>
              </w:rPr>
              <w:t>教研组长</w:t>
            </w:r>
          </w:p>
          <w:p w14:paraId="71CB9210">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3DE62C67">
            <w:pPr>
              <w:jc w:val="center"/>
              <w:rPr>
                <w:rFonts w:hint="eastAsia" w:ascii="宋体" w:hAnsi="宋体"/>
                <w:sz w:val="18"/>
                <w:szCs w:val="18"/>
              </w:rPr>
            </w:pPr>
            <w:r>
              <w:rPr>
                <w:rFonts w:hint="eastAsia" w:ascii="宋体" w:hAnsi="宋体"/>
                <w:sz w:val="18"/>
                <w:szCs w:val="18"/>
              </w:rPr>
              <w:t>研讨沙龙</w:t>
            </w:r>
          </w:p>
        </w:tc>
      </w:tr>
      <w:tr w14:paraId="1EA42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279" w:type="dxa"/>
            <w:vAlign w:val="center"/>
          </w:tcPr>
          <w:p w14:paraId="1061BD41">
            <w:pPr>
              <w:spacing w:line="600" w:lineRule="exact"/>
              <w:jc w:val="center"/>
              <w:rPr>
                <w:rFonts w:hint="eastAsia" w:ascii="宋体" w:hAnsi="宋体"/>
                <w:b/>
                <w:sz w:val="18"/>
                <w:szCs w:val="18"/>
              </w:rPr>
            </w:pPr>
            <w:r>
              <w:rPr>
                <w:rFonts w:hint="eastAsia" w:ascii="宋体" w:hAnsi="宋体"/>
                <w:b/>
                <w:sz w:val="18"/>
                <w:szCs w:val="18"/>
              </w:rPr>
              <w:t>第十七周</w:t>
            </w:r>
          </w:p>
          <w:p w14:paraId="452D634E">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12/2</w:t>
            </w:r>
            <w:r>
              <w:rPr>
                <w:rFonts w:hint="eastAsia" w:ascii="宋体" w:hAnsi="宋体"/>
                <w:b/>
                <w:sz w:val="18"/>
                <w:szCs w:val="18"/>
                <w:lang w:val="en-US" w:eastAsia="zh-CN"/>
              </w:rPr>
              <w:t>3</w:t>
            </w:r>
            <w:r>
              <w:rPr>
                <w:rFonts w:hint="eastAsia" w:ascii="宋体" w:hAnsi="宋体"/>
                <w:b/>
                <w:sz w:val="18"/>
                <w:szCs w:val="18"/>
              </w:rPr>
              <w:t>～12/2</w:t>
            </w:r>
            <w:r>
              <w:rPr>
                <w:rFonts w:hint="eastAsia" w:ascii="宋体" w:hAnsi="宋体"/>
                <w:b/>
                <w:sz w:val="18"/>
                <w:szCs w:val="18"/>
                <w:lang w:val="en-US" w:eastAsia="zh-CN"/>
              </w:rPr>
              <w:t>7</w:t>
            </w:r>
          </w:p>
        </w:tc>
        <w:tc>
          <w:tcPr>
            <w:tcW w:w="6029" w:type="dxa"/>
            <w:vAlign w:val="center"/>
          </w:tcPr>
          <w:p w14:paraId="0C91C9C4">
            <w:pPr>
              <w:rPr>
                <w:rFonts w:hint="eastAsia" w:ascii="宋体" w:hAnsi="宋体"/>
                <w:b/>
                <w:sz w:val="18"/>
                <w:szCs w:val="18"/>
                <w:shd w:val="pct10" w:color="auto" w:fill="FFFFFF"/>
              </w:rPr>
            </w:pPr>
            <w:r>
              <w:rPr>
                <w:rFonts w:hint="eastAsia" w:ascii="宋体" w:hAnsi="宋体"/>
                <w:b/>
                <w:sz w:val="18"/>
                <w:szCs w:val="18"/>
                <w:shd w:val="pct10" w:color="auto" w:fill="FFFFFF"/>
              </w:rPr>
              <w:t>备课组集体备课</w:t>
            </w:r>
          </w:p>
          <w:p w14:paraId="1769A9B3">
            <w:pPr>
              <w:rPr>
                <w:rFonts w:hint="default" w:ascii="宋体" w:hAnsi="宋体"/>
                <w:sz w:val="18"/>
                <w:szCs w:val="18"/>
                <w:lang w:val="en-US" w:eastAsia="zh-CN"/>
              </w:rPr>
            </w:pPr>
            <w:r>
              <w:rPr>
                <w:rFonts w:hint="eastAsia" w:ascii="宋体" w:hAnsi="宋体"/>
                <w:sz w:val="18"/>
                <w:szCs w:val="18"/>
                <w:lang w:val="en-US" w:eastAsia="zh-CN"/>
              </w:rPr>
              <w:t>1.各备课组交流进行教学困难之处并提出针对性措施。</w:t>
            </w:r>
          </w:p>
          <w:p w14:paraId="0DF2E62C">
            <w:pPr>
              <w:rPr>
                <w:rFonts w:hint="eastAsia" w:ascii="宋体" w:hAnsi="宋体" w:cs="宋体"/>
                <w:sz w:val="18"/>
                <w:szCs w:val="18"/>
              </w:rPr>
            </w:pPr>
            <w:r>
              <w:rPr>
                <w:rFonts w:hint="eastAsia" w:ascii="宋体" w:hAnsi="宋体"/>
                <w:sz w:val="18"/>
                <w:szCs w:val="18"/>
                <w:lang w:val="en-US" w:eastAsia="zh-CN"/>
              </w:rPr>
              <w:t>2.</w:t>
            </w:r>
            <w:r>
              <w:rPr>
                <w:rFonts w:hint="eastAsia" w:ascii="宋体" w:hAnsi="宋体"/>
                <w:sz w:val="18"/>
                <w:szCs w:val="18"/>
                <w:lang w:eastAsia="zh-CN"/>
              </w:rPr>
              <w:t>进行数学</w:t>
            </w:r>
            <w:r>
              <w:rPr>
                <w:rFonts w:hint="eastAsia" w:ascii="宋体" w:hAnsi="宋体"/>
                <w:sz w:val="18"/>
                <w:szCs w:val="18"/>
              </w:rPr>
              <w:t>新教师课堂教学考核。</w:t>
            </w:r>
          </w:p>
        </w:tc>
        <w:tc>
          <w:tcPr>
            <w:tcW w:w="1260" w:type="dxa"/>
            <w:vAlign w:val="center"/>
          </w:tcPr>
          <w:p w14:paraId="4781C84B">
            <w:pPr>
              <w:jc w:val="center"/>
              <w:rPr>
                <w:rFonts w:hint="eastAsia" w:ascii="宋体" w:hAnsi="宋体"/>
                <w:sz w:val="18"/>
                <w:szCs w:val="18"/>
              </w:rPr>
            </w:pPr>
            <w:r>
              <w:rPr>
                <w:rFonts w:hint="eastAsia" w:ascii="宋体" w:hAnsi="宋体"/>
                <w:sz w:val="18"/>
                <w:szCs w:val="18"/>
              </w:rPr>
              <w:t>教研组长</w:t>
            </w:r>
          </w:p>
          <w:p w14:paraId="1C3B08A2">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50DE1254">
            <w:pPr>
              <w:jc w:val="center"/>
              <w:rPr>
                <w:rFonts w:hint="eastAsia" w:ascii="宋体" w:hAnsi="宋体"/>
                <w:sz w:val="18"/>
                <w:szCs w:val="18"/>
              </w:rPr>
            </w:pPr>
            <w:r>
              <w:rPr>
                <w:rFonts w:hint="eastAsia" w:ascii="宋体" w:hAnsi="宋体"/>
                <w:sz w:val="18"/>
                <w:szCs w:val="18"/>
              </w:rPr>
              <w:t>课堂教学</w:t>
            </w:r>
          </w:p>
          <w:p w14:paraId="4B21CE18">
            <w:pPr>
              <w:jc w:val="center"/>
              <w:rPr>
                <w:rFonts w:hint="eastAsia" w:ascii="宋体" w:hAnsi="宋体"/>
                <w:sz w:val="18"/>
                <w:szCs w:val="18"/>
              </w:rPr>
            </w:pPr>
            <w:r>
              <w:rPr>
                <w:rFonts w:hint="eastAsia" w:ascii="宋体" w:hAnsi="宋体"/>
                <w:sz w:val="18"/>
                <w:szCs w:val="18"/>
              </w:rPr>
              <w:t>交流研讨</w:t>
            </w:r>
          </w:p>
        </w:tc>
      </w:tr>
      <w:tr w14:paraId="513E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1279" w:type="dxa"/>
            <w:vAlign w:val="center"/>
          </w:tcPr>
          <w:p w14:paraId="78AB96DE">
            <w:pPr>
              <w:spacing w:line="600" w:lineRule="exact"/>
              <w:jc w:val="center"/>
              <w:rPr>
                <w:rFonts w:hint="eastAsia" w:ascii="宋体" w:hAnsi="宋体"/>
                <w:b/>
                <w:sz w:val="18"/>
                <w:szCs w:val="18"/>
              </w:rPr>
            </w:pPr>
            <w:r>
              <w:rPr>
                <w:rFonts w:hint="eastAsia" w:ascii="宋体" w:hAnsi="宋体"/>
                <w:b/>
                <w:sz w:val="18"/>
                <w:szCs w:val="18"/>
              </w:rPr>
              <w:t>第十八周</w:t>
            </w:r>
          </w:p>
          <w:p w14:paraId="7A185CB7">
            <w:pPr>
              <w:spacing w:line="600" w:lineRule="exact"/>
              <w:jc w:val="center"/>
              <w:rPr>
                <w:rFonts w:hint="default" w:ascii="宋体" w:hAnsi="宋体" w:eastAsia="宋体"/>
                <w:b/>
                <w:sz w:val="18"/>
                <w:szCs w:val="18"/>
                <w:lang w:val="en-US" w:eastAsia="zh-CN"/>
              </w:rPr>
            </w:pPr>
            <w:r>
              <w:rPr>
                <w:rFonts w:hint="eastAsia" w:ascii="宋体" w:hAnsi="宋体"/>
                <w:b/>
                <w:sz w:val="18"/>
                <w:szCs w:val="18"/>
                <w:lang w:val="en-US" w:eastAsia="zh-CN"/>
              </w:rPr>
              <w:t>12</w:t>
            </w:r>
            <w:r>
              <w:rPr>
                <w:rFonts w:hint="eastAsia" w:ascii="宋体" w:hAnsi="宋体"/>
                <w:b/>
                <w:sz w:val="18"/>
                <w:szCs w:val="18"/>
              </w:rPr>
              <w:t>/</w:t>
            </w:r>
            <w:r>
              <w:rPr>
                <w:rFonts w:hint="eastAsia" w:ascii="宋体" w:hAnsi="宋体"/>
                <w:b/>
                <w:sz w:val="18"/>
                <w:szCs w:val="18"/>
                <w:lang w:val="en-US" w:eastAsia="zh-CN"/>
              </w:rPr>
              <w:t>30</w:t>
            </w:r>
            <w:r>
              <w:rPr>
                <w:rFonts w:hint="eastAsia" w:ascii="宋体" w:hAnsi="宋体"/>
                <w:b/>
                <w:sz w:val="18"/>
                <w:szCs w:val="18"/>
              </w:rPr>
              <w:t>～</w:t>
            </w:r>
            <w:r>
              <w:rPr>
                <w:rFonts w:hint="eastAsia" w:ascii="宋体" w:hAnsi="宋体"/>
                <w:b/>
                <w:sz w:val="18"/>
                <w:szCs w:val="18"/>
                <w:lang w:val="en-US" w:eastAsia="zh-CN"/>
              </w:rPr>
              <w:t>1/3</w:t>
            </w:r>
          </w:p>
        </w:tc>
        <w:tc>
          <w:tcPr>
            <w:tcW w:w="6029" w:type="dxa"/>
            <w:vAlign w:val="center"/>
          </w:tcPr>
          <w:p w14:paraId="675879C5">
            <w:pPr>
              <w:rPr>
                <w:rFonts w:hint="eastAsia" w:ascii="宋体" w:hAnsi="宋体"/>
                <w:b/>
                <w:bCs/>
                <w:sz w:val="18"/>
                <w:szCs w:val="18"/>
                <w:shd w:val="clear" w:color="FFFFFF" w:fill="D9D9D9"/>
              </w:rPr>
            </w:pPr>
            <w:r>
              <w:rPr>
                <w:rFonts w:hint="eastAsia" w:ascii="宋体" w:hAnsi="宋体"/>
                <w:b/>
                <w:bCs/>
                <w:sz w:val="18"/>
                <w:szCs w:val="18"/>
                <w:shd w:val="clear" w:color="FFFFFF" w:fill="D9D9D9"/>
              </w:rPr>
              <w:t>教研组</w:t>
            </w:r>
            <w:r>
              <w:rPr>
                <w:rFonts w:hint="eastAsia" w:ascii="宋体" w:hAnsi="宋体"/>
                <w:b/>
                <w:bCs/>
                <w:sz w:val="18"/>
                <w:szCs w:val="18"/>
                <w:shd w:val="clear" w:color="FFFFFF" w:fill="D9D9D9"/>
                <w:lang w:eastAsia="zh-CN"/>
              </w:rPr>
              <w:t>研究活动</w:t>
            </w:r>
            <w:r>
              <w:rPr>
                <w:rFonts w:hint="eastAsia" w:ascii="宋体" w:hAnsi="宋体"/>
                <w:b/>
                <w:bCs/>
                <w:sz w:val="18"/>
                <w:szCs w:val="18"/>
                <w:shd w:val="clear" w:color="FFFFFF" w:fill="D9D9D9"/>
              </w:rPr>
              <w:t>——</w:t>
            </w:r>
            <w:r>
              <w:rPr>
                <w:rFonts w:hint="eastAsia" w:ascii="宋体" w:hAnsi="宋体"/>
                <w:b/>
                <w:bCs/>
                <w:sz w:val="18"/>
                <w:szCs w:val="18"/>
                <w:shd w:val="clear" w:color="FFFFFF" w:fill="D9D9D9"/>
                <w:lang w:eastAsia="zh-CN"/>
              </w:rPr>
              <w:t>期末复习</w:t>
            </w:r>
            <w:r>
              <w:rPr>
                <w:rFonts w:hint="eastAsia" w:ascii="宋体" w:hAnsi="宋体"/>
                <w:b/>
                <w:bCs/>
                <w:sz w:val="18"/>
                <w:szCs w:val="18"/>
                <w:shd w:val="clear" w:color="FFFFFF" w:fill="D9D9D9"/>
              </w:rPr>
              <w:t>专题研讨</w:t>
            </w:r>
          </w:p>
          <w:p w14:paraId="29FBFB8B">
            <w:pPr>
              <w:rPr>
                <w:rFonts w:hint="eastAsia" w:ascii="宋体" w:hAnsi="宋体" w:eastAsia="宋体"/>
                <w:sz w:val="18"/>
                <w:szCs w:val="18"/>
                <w:lang w:eastAsia="zh-CN"/>
              </w:rPr>
            </w:pPr>
            <w:r>
              <w:rPr>
                <w:rFonts w:hint="eastAsia" w:ascii="宋体" w:hAnsi="宋体"/>
                <w:sz w:val="18"/>
                <w:szCs w:val="18"/>
              </w:rPr>
              <w:t>1.期末命题讨论，制订复习计划</w:t>
            </w:r>
            <w:r>
              <w:rPr>
                <w:rFonts w:hint="eastAsia" w:ascii="宋体" w:hAnsi="宋体"/>
                <w:sz w:val="18"/>
                <w:szCs w:val="18"/>
                <w:lang w:eastAsia="zh-CN"/>
              </w:rPr>
              <w:t>。</w:t>
            </w:r>
          </w:p>
          <w:p w14:paraId="776FD3A0">
            <w:pPr>
              <w:rPr>
                <w:rFonts w:hint="eastAsia" w:ascii="宋体" w:hAnsi="宋体" w:eastAsia="宋体"/>
                <w:bCs/>
                <w:sz w:val="18"/>
                <w:szCs w:val="18"/>
                <w:lang w:eastAsia="zh-CN"/>
              </w:rPr>
            </w:pPr>
            <w:r>
              <w:rPr>
                <w:rFonts w:hint="eastAsia" w:ascii="宋体" w:hAnsi="宋体"/>
                <w:sz w:val="18"/>
                <w:szCs w:val="18"/>
              </w:rPr>
              <w:t>2.</w:t>
            </w:r>
            <w:r>
              <w:rPr>
                <w:rFonts w:hint="eastAsia" w:ascii="宋体" w:hAnsi="宋体"/>
                <w:bCs/>
                <w:sz w:val="18"/>
                <w:szCs w:val="18"/>
              </w:rPr>
              <w:t>复习研讨活动：各备课组上一节研讨课</w:t>
            </w:r>
            <w:r>
              <w:rPr>
                <w:rFonts w:hint="eastAsia" w:ascii="宋体" w:hAnsi="宋体"/>
                <w:bCs/>
                <w:sz w:val="18"/>
                <w:szCs w:val="18"/>
                <w:lang w:eastAsia="zh-CN"/>
              </w:rPr>
              <w:t>。</w:t>
            </w:r>
          </w:p>
        </w:tc>
        <w:tc>
          <w:tcPr>
            <w:tcW w:w="1260" w:type="dxa"/>
            <w:vAlign w:val="center"/>
          </w:tcPr>
          <w:p w14:paraId="5EB99A3C">
            <w:pPr>
              <w:jc w:val="center"/>
              <w:rPr>
                <w:rFonts w:hint="eastAsia" w:ascii="宋体" w:hAnsi="宋体"/>
                <w:sz w:val="18"/>
                <w:szCs w:val="18"/>
              </w:rPr>
            </w:pPr>
            <w:r>
              <w:rPr>
                <w:rFonts w:hint="eastAsia" w:ascii="宋体" w:hAnsi="宋体"/>
                <w:sz w:val="18"/>
                <w:szCs w:val="18"/>
              </w:rPr>
              <w:t>教研组长</w:t>
            </w:r>
          </w:p>
          <w:p w14:paraId="69B62DF1">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23FDD9C6">
            <w:pPr>
              <w:jc w:val="center"/>
              <w:rPr>
                <w:rFonts w:hint="eastAsia" w:ascii="宋体" w:hAnsi="宋体"/>
                <w:sz w:val="18"/>
                <w:szCs w:val="18"/>
              </w:rPr>
            </w:pPr>
            <w:r>
              <w:rPr>
                <w:rFonts w:hint="eastAsia" w:ascii="宋体" w:hAnsi="宋体"/>
                <w:sz w:val="18"/>
                <w:szCs w:val="18"/>
              </w:rPr>
              <w:t>课堂教学</w:t>
            </w:r>
          </w:p>
          <w:p w14:paraId="0A319617">
            <w:pPr>
              <w:jc w:val="center"/>
              <w:rPr>
                <w:rFonts w:hint="eastAsia" w:ascii="宋体" w:hAnsi="宋体"/>
                <w:sz w:val="18"/>
                <w:szCs w:val="18"/>
              </w:rPr>
            </w:pPr>
            <w:r>
              <w:rPr>
                <w:rFonts w:hint="eastAsia" w:ascii="宋体" w:hAnsi="宋体"/>
                <w:sz w:val="18"/>
                <w:szCs w:val="18"/>
              </w:rPr>
              <w:t>研讨沙龙</w:t>
            </w:r>
          </w:p>
        </w:tc>
      </w:tr>
      <w:tr w14:paraId="751B2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1279" w:type="dxa"/>
            <w:vAlign w:val="center"/>
          </w:tcPr>
          <w:p w14:paraId="088C168D">
            <w:pPr>
              <w:spacing w:line="600" w:lineRule="exact"/>
              <w:jc w:val="center"/>
              <w:rPr>
                <w:rFonts w:hint="eastAsia" w:ascii="宋体" w:hAnsi="宋体"/>
                <w:b/>
                <w:sz w:val="18"/>
                <w:szCs w:val="18"/>
              </w:rPr>
            </w:pPr>
            <w:r>
              <w:rPr>
                <w:rFonts w:hint="eastAsia" w:ascii="宋体" w:hAnsi="宋体"/>
                <w:b/>
                <w:sz w:val="18"/>
                <w:szCs w:val="18"/>
              </w:rPr>
              <w:t>第十九周</w:t>
            </w:r>
          </w:p>
          <w:p w14:paraId="393AD2B7">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w:t>
            </w:r>
            <w:r>
              <w:rPr>
                <w:rFonts w:hint="eastAsia" w:ascii="宋体" w:hAnsi="宋体"/>
                <w:b/>
                <w:sz w:val="18"/>
                <w:szCs w:val="18"/>
                <w:lang w:val="en-US" w:eastAsia="zh-CN"/>
              </w:rPr>
              <w:t>6</w:t>
            </w:r>
            <w:r>
              <w:rPr>
                <w:rFonts w:hint="eastAsia" w:ascii="宋体" w:hAnsi="宋体"/>
                <w:b/>
                <w:sz w:val="18"/>
                <w:szCs w:val="18"/>
              </w:rPr>
              <w:t>～1</w:t>
            </w:r>
            <w:r>
              <w:rPr>
                <w:rFonts w:hint="eastAsia" w:ascii="宋体" w:hAnsi="宋体"/>
                <w:b/>
                <w:sz w:val="18"/>
                <w:szCs w:val="18"/>
                <w:lang w:val="en-US" w:eastAsia="zh-CN"/>
              </w:rPr>
              <w:t>0</w:t>
            </w:r>
          </w:p>
        </w:tc>
        <w:tc>
          <w:tcPr>
            <w:tcW w:w="6029" w:type="dxa"/>
            <w:vAlign w:val="center"/>
          </w:tcPr>
          <w:p w14:paraId="42B4065D">
            <w:pPr>
              <w:rPr>
                <w:rFonts w:hint="eastAsia" w:ascii="宋体" w:hAnsi="宋体"/>
                <w:b/>
                <w:bCs/>
                <w:sz w:val="18"/>
                <w:szCs w:val="18"/>
                <w:shd w:val="clear" w:color="FFFFFF" w:fill="D9D9D9"/>
              </w:rPr>
            </w:pPr>
            <w:r>
              <w:rPr>
                <w:rFonts w:hint="eastAsia" w:ascii="宋体" w:hAnsi="宋体"/>
                <w:b/>
                <w:bCs/>
                <w:sz w:val="18"/>
                <w:szCs w:val="18"/>
                <w:shd w:val="clear" w:color="FFFFFF" w:fill="D9D9D9"/>
              </w:rPr>
              <w:t>备课组集体备课</w:t>
            </w:r>
          </w:p>
          <w:p w14:paraId="6C3BE480">
            <w:pPr>
              <w:rPr>
                <w:rFonts w:hint="eastAsia" w:ascii="宋体" w:hAnsi="宋体"/>
                <w:sz w:val="18"/>
                <w:szCs w:val="18"/>
              </w:rPr>
            </w:pPr>
            <w:r>
              <w:rPr>
                <w:rFonts w:hint="eastAsia" w:ascii="宋体" w:hAnsi="宋体"/>
                <w:bCs/>
                <w:sz w:val="18"/>
                <w:szCs w:val="18"/>
              </w:rPr>
              <w:t>完成基础达标、小型竞赛活动</w:t>
            </w:r>
          </w:p>
        </w:tc>
        <w:tc>
          <w:tcPr>
            <w:tcW w:w="1260" w:type="dxa"/>
            <w:vAlign w:val="center"/>
          </w:tcPr>
          <w:p w14:paraId="0311032D">
            <w:pPr>
              <w:jc w:val="center"/>
              <w:rPr>
                <w:rFonts w:hint="eastAsia" w:ascii="宋体" w:hAnsi="宋体"/>
                <w:sz w:val="18"/>
                <w:szCs w:val="18"/>
              </w:rPr>
            </w:pPr>
            <w:r>
              <w:rPr>
                <w:rFonts w:hint="eastAsia" w:ascii="宋体" w:hAnsi="宋体"/>
                <w:sz w:val="18"/>
                <w:szCs w:val="18"/>
              </w:rPr>
              <w:t>全体教师</w:t>
            </w:r>
          </w:p>
        </w:tc>
        <w:tc>
          <w:tcPr>
            <w:tcW w:w="1260" w:type="dxa"/>
            <w:vAlign w:val="center"/>
          </w:tcPr>
          <w:p w14:paraId="21440764">
            <w:pPr>
              <w:jc w:val="center"/>
              <w:rPr>
                <w:rFonts w:hint="eastAsia" w:ascii="宋体" w:hAnsi="宋体" w:eastAsia="宋体"/>
                <w:sz w:val="18"/>
                <w:szCs w:val="18"/>
                <w:lang w:eastAsia="zh-CN"/>
              </w:rPr>
            </w:pPr>
            <w:r>
              <w:rPr>
                <w:rFonts w:hint="eastAsia" w:ascii="宋体" w:hAnsi="宋体"/>
                <w:sz w:val="18"/>
                <w:szCs w:val="18"/>
                <w:lang w:eastAsia="zh-CN"/>
              </w:rPr>
              <w:t>集体备课</w:t>
            </w:r>
          </w:p>
        </w:tc>
      </w:tr>
      <w:tr w14:paraId="622F6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1279" w:type="dxa"/>
            <w:vAlign w:val="center"/>
          </w:tcPr>
          <w:p w14:paraId="79FF6815">
            <w:pPr>
              <w:spacing w:line="600" w:lineRule="exact"/>
              <w:jc w:val="center"/>
              <w:rPr>
                <w:rFonts w:hint="eastAsia" w:ascii="宋体" w:hAnsi="宋体"/>
                <w:b/>
                <w:sz w:val="18"/>
                <w:szCs w:val="18"/>
              </w:rPr>
            </w:pPr>
            <w:r>
              <w:rPr>
                <w:rFonts w:hint="eastAsia" w:ascii="宋体" w:hAnsi="宋体"/>
                <w:b/>
                <w:sz w:val="18"/>
                <w:szCs w:val="18"/>
              </w:rPr>
              <w:t>第二十周</w:t>
            </w:r>
          </w:p>
          <w:p w14:paraId="66191938">
            <w:pPr>
              <w:spacing w:line="600" w:lineRule="exact"/>
              <w:jc w:val="center"/>
              <w:rPr>
                <w:rFonts w:hint="default" w:ascii="宋体" w:hAnsi="宋体" w:eastAsia="宋体"/>
                <w:b/>
                <w:sz w:val="18"/>
                <w:szCs w:val="18"/>
                <w:lang w:val="en-US" w:eastAsia="zh-CN"/>
              </w:rPr>
            </w:pPr>
            <w:r>
              <w:rPr>
                <w:rFonts w:hint="eastAsia" w:ascii="宋体" w:hAnsi="宋体"/>
                <w:b/>
                <w:sz w:val="18"/>
                <w:szCs w:val="18"/>
              </w:rPr>
              <w:t>1/1</w:t>
            </w:r>
            <w:r>
              <w:rPr>
                <w:rFonts w:hint="eastAsia" w:ascii="宋体" w:hAnsi="宋体"/>
                <w:b/>
                <w:sz w:val="18"/>
                <w:szCs w:val="18"/>
                <w:lang w:val="en-US" w:eastAsia="zh-CN"/>
              </w:rPr>
              <w:t>3</w:t>
            </w:r>
            <w:r>
              <w:rPr>
                <w:rFonts w:hint="eastAsia" w:ascii="宋体" w:hAnsi="宋体"/>
                <w:b/>
                <w:sz w:val="18"/>
                <w:szCs w:val="18"/>
              </w:rPr>
              <w:t>～</w:t>
            </w:r>
            <w:r>
              <w:rPr>
                <w:rFonts w:hint="eastAsia" w:ascii="宋体" w:hAnsi="宋体"/>
                <w:b/>
                <w:sz w:val="18"/>
                <w:szCs w:val="18"/>
                <w:lang w:val="en-US" w:eastAsia="zh-CN"/>
              </w:rPr>
              <w:t>17</w:t>
            </w:r>
          </w:p>
        </w:tc>
        <w:tc>
          <w:tcPr>
            <w:tcW w:w="6029" w:type="dxa"/>
            <w:vAlign w:val="center"/>
          </w:tcPr>
          <w:p w14:paraId="231246DE">
            <w:pPr>
              <w:rPr>
                <w:rFonts w:hint="eastAsia" w:ascii="宋体" w:hAnsi="宋体"/>
                <w:b/>
                <w:bCs/>
                <w:sz w:val="18"/>
                <w:szCs w:val="18"/>
                <w:shd w:val="clear" w:color="FFFFFF" w:fill="D9D9D9"/>
              </w:rPr>
            </w:pPr>
            <w:r>
              <w:rPr>
                <w:rFonts w:hint="eastAsia" w:ascii="宋体" w:hAnsi="宋体"/>
                <w:b/>
                <w:bCs/>
                <w:sz w:val="18"/>
                <w:szCs w:val="18"/>
                <w:shd w:val="clear" w:color="FFFFFF" w:fill="D9D9D9"/>
                <w:lang w:eastAsia="zh-CN"/>
              </w:rPr>
              <w:t>教研组研究活动——期末质量分析</w:t>
            </w:r>
          </w:p>
          <w:p w14:paraId="676F10EE">
            <w:pPr>
              <w:rPr>
                <w:rFonts w:hint="eastAsia" w:ascii="宋体" w:hAnsi="宋体"/>
                <w:sz w:val="18"/>
                <w:szCs w:val="18"/>
              </w:rPr>
            </w:pPr>
            <w:r>
              <w:rPr>
                <w:rFonts w:hint="eastAsia" w:ascii="宋体" w:hAnsi="宋体"/>
                <w:sz w:val="18"/>
                <w:szCs w:val="18"/>
              </w:rPr>
              <w:t>1.期末考试，进行教研组质量分析。</w:t>
            </w:r>
          </w:p>
          <w:p w14:paraId="684BFE58">
            <w:pPr>
              <w:rPr>
                <w:rFonts w:hint="eastAsia" w:ascii="宋体" w:hAnsi="宋体"/>
                <w:b/>
                <w:bCs/>
                <w:sz w:val="18"/>
                <w:szCs w:val="18"/>
                <w:shd w:val="clear" w:color="FFFFFF" w:fill="D9D9D9"/>
              </w:rPr>
            </w:pPr>
            <w:r>
              <w:rPr>
                <w:rFonts w:hint="eastAsia" w:ascii="宋体" w:hAnsi="宋体"/>
                <w:sz w:val="18"/>
                <w:szCs w:val="18"/>
              </w:rPr>
              <w:t>2.上好期末课程。</w:t>
            </w:r>
          </w:p>
        </w:tc>
        <w:tc>
          <w:tcPr>
            <w:tcW w:w="1260" w:type="dxa"/>
            <w:vAlign w:val="center"/>
          </w:tcPr>
          <w:p w14:paraId="1D687312">
            <w:pPr>
              <w:jc w:val="center"/>
              <w:rPr>
                <w:rFonts w:hint="eastAsia" w:ascii="宋体" w:hAnsi="宋体"/>
                <w:sz w:val="18"/>
                <w:szCs w:val="18"/>
              </w:rPr>
            </w:pPr>
            <w:r>
              <w:rPr>
                <w:rFonts w:hint="eastAsia" w:ascii="宋体" w:hAnsi="宋体"/>
                <w:sz w:val="18"/>
                <w:szCs w:val="18"/>
              </w:rPr>
              <w:t>教研组长</w:t>
            </w:r>
          </w:p>
          <w:p w14:paraId="1478FFA4">
            <w:pPr>
              <w:jc w:val="center"/>
              <w:rPr>
                <w:rFonts w:hint="eastAsia" w:ascii="宋体" w:hAnsi="宋体"/>
                <w:sz w:val="18"/>
                <w:szCs w:val="18"/>
              </w:rPr>
            </w:pPr>
            <w:r>
              <w:rPr>
                <w:rFonts w:hint="eastAsia" w:ascii="宋体" w:hAnsi="宋体"/>
                <w:sz w:val="18"/>
                <w:szCs w:val="18"/>
              </w:rPr>
              <w:t>备课组长</w:t>
            </w:r>
          </w:p>
        </w:tc>
        <w:tc>
          <w:tcPr>
            <w:tcW w:w="1260" w:type="dxa"/>
            <w:vAlign w:val="center"/>
          </w:tcPr>
          <w:p w14:paraId="1452A5C9">
            <w:pPr>
              <w:jc w:val="center"/>
              <w:rPr>
                <w:rFonts w:hint="eastAsia" w:ascii="宋体" w:hAnsi="宋体"/>
                <w:sz w:val="18"/>
                <w:szCs w:val="18"/>
              </w:rPr>
            </w:pPr>
            <w:r>
              <w:rPr>
                <w:rFonts w:hint="eastAsia" w:ascii="宋体" w:hAnsi="宋体"/>
                <w:sz w:val="18"/>
                <w:szCs w:val="18"/>
              </w:rPr>
              <w:t>期末调研</w:t>
            </w:r>
          </w:p>
          <w:p w14:paraId="25E1B8EC">
            <w:pPr>
              <w:jc w:val="center"/>
              <w:rPr>
                <w:rFonts w:hint="eastAsia" w:ascii="宋体" w:hAnsi="宋体"/>
                <w:sz w:val="18"/>
                <w:szCs w:val="18"/>
              </w:rPr>
            </w:pPr>
          </w:p>
        </w:tc>
      </w:tr>
      <w:tr w14:paraId="5F4DD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1279" w:type="dxa"/>
            <w:vAlign w:val="center"/>
          </w:tcPr>
          <w:p w14:paraId="7D0F8E8A">
            <w:pPr>
              <w:spacing w:line="600" w:lineRule="exact"/>
              <w:jc w:val="center"/>
              <w:rPr>
                <w:rFonts w:hint="eastAsia" w:ascii="宋体" w:hAnsi="宋体"/>
                <w:b/>
                <w:sz w:val="18"/>
                <w:szCs w:val="18"/>
              </w:rPr>
            </w:pPr>
            <w:r>
              <w:rPr>
                <w:rFonts w:hint="eastAsia" w:ascii="宋体" w:hAnsi="宋体"/>
                <w:b/>
                <w:sz w:val="18"/>
                <w:szCs w:val="18"/>
              </w:rPr>
              <w:t>第二十一周</w:t>
            </w:r>
          </w:p>
          <w:p w14:paraId="1771AC5B">
            <w:pPr>
              <w:spacing w:line="600" w:lineRule="exact"/>
              <w:jc w:val="center"/>
              <w:rPr>
                <w:rFonts w:hint="eastAsia" w:ascii="宋体" w:hAnsi="宋体" w:eastAsia="宋体"/>
                <w:b/>
                <w:sz w:val="18"/>
                <w:szCs w:val="18"/>
                <w:lang w:val="en-US" w:eastAsia="zh-CN"/>
              </w:rPr>
            </w:pPr>
            <w:r>
              <w:rPr>
                <w:rFonts w:hint="eastAsia" w:ascii="宋体" w:hAnsi="宋体"/>
                <w:b/>
                <w:sz w:val="18"/>
                <w:szCs w:val="18"/>
              </w:rPr>
              <w:t>1/2</w:t>
            </w:r>
            <w:r>
              <w:rPr>
                <w:rFonts w:hint="eastAsia" w:ascii="宋体" w:hAnsi="宋体"/>
                <w:b/>
                <w:sz w:val="18"/>
                <w:szCs w:val="18"/>
                <w:lang w:val="en-US" w:eastAsia="zh-CN"/>
              </w:rPr>
              <w:t>0</w:t>
            </w:r>
            <w:r>
              <w:rPr>
                <w:rFonts w:hint="eastAsia" w:ascii="宋体" w:hAnsi="宋体"/>
                <w:b/>
                <w:sz w:val="18"/>
                <w:szCs w:val="18"/>
              </w:rPr>
              <w:t>～2</w:t>
            </w:r>
            <w:r>
              <w:rPr>
                <w:rFonts w:hint="eastAsia" w:ascii="宋体" w:hAnsi="宋体"/>
                <w:b/>
                <w:sz w:val="18"/>
                <w:szCs w:val="18"/>
                <w:lang w:val="en-US" w:eastAsia="zh-CN"/>
              </w:rPr>
              <w:t>4</w:t>
            </w:r>
          </w:p>
        </w:tc>
        <w:tc>
          <w:tcPr>
            <w:tcW w:w="6029" w:type="dxa"/>
            <w:vAlign w:val="center"/>
          </w:tcPr>
          <w:p w14:paraId="6E13C442">
            <w:pPr>
              <w:rPr>
                <w:rFonts w:hint="eastAsia" w:ascii="宋体" w:hAnsi="宋体"/>
                <w:sz w:val="18"/>
                <w:szCs w:val="18"/>
              </w:rPr>
            </w:pPr>
            <w:r>
              <w:rPr>
                <w:rFonts w:hint="eastAsia" w:ascii="宋体" w:hAnsi="宋体"/>
                <w:sz w:val="18"/>
                <w:szCs w:val="18"/>
              </w:rPr>
              <w:t>上交各类资料</w:t>
            </w:r>
          </w:p>
        </w:tc>
        <w:tc>
          <w:tcPr>
            <w:tcW w:w="1260" w:type="dxa"/>
            <w:vAlign w:val="center"/>
          </w:tcPr>
          <w:p w14:paraId="43D1AABF">
            <w:pPr>
              <w:jc w:val="center"/>
              <w:rPr>
                <w:rFonts w:hint="eastAsia" w:ascii="宋体" w:hAnsi="宋体"/>
                <w:sz w:val="18"/>
                <w:szCs w:val="18"/>
              </w:rPr>
            </w:pPr>
            <w:r>
              <w:rPr>
                <w:rFonts w:hint="eastAsia" w:ascii="宋体" w:hAnsi="宋体"/>
                <w:sz w:val="18"/>
                <w:szCs w:val="18"/>
              </w:rPr>
              <w:t>全体老师</w:t>
            </w:r>
          </w:p>
        </w:tc>
        <w:tc>
          <w:tcPr>
            <w:tcW w:w="1260" w:type="dxa"/>
            <w:vAlign w:val="center"/>
          </w:tcPr>
          <w:p w14:paraId="3E599AAF">
            <w:pPr>
              <w:jc w:val="center"/>
              <w:rPr>
                <w:rFonts w:hint="eastAsia" w:ascii="宋体" w:hAnsi="宋体"/>
                <w:sz w:val="18"/>
                <w:szCs w:val="18"/>
              </w:rPr>
            </w:pPr>
          </w:p>
        </w:tc>
      </w:tr>
    </w:tbl>
    <w:p w14:paraId="30125129">
      <w:pPr>
        <w:widowControl/>
        <w:spacing w:line="360" w:lineRule="auto"/>
        <w:jc w:val="left"/>
        <w:rPr>
          <w:rFonts w:hint="eastAsia" w:ascii="宋体" w:hAnsi="宋体"/>
          <w:color w:val="000000"/>
          <w:sz w:val="24"/>
          <w:lang w:val="en-US" w:eastAsia="zh-CN"/>
        </w:rPr>
      </w:pPr>
    </w:p>
    <w:p w14:paraId="3643D0CF">
      <w:pPr>
        <w:widowControl/>
        <w:spacing w:line="360" w:lineRule="auto"/>
        <w:jc w:val="left"/>
        <w:rPr>
          <w:rFonts w:hint="eastAsia" w:ascii="宋体" w:hAnsi="宋体"/>
          <w:color w:val="000000"/>
          <w:sz w:val="24"/>
          <w:lang w:val="en-US" w:eastAsia="zh-CN"/>
        </w:rPr>
      </w:pPr>
    </w:p>
    <w:p w14:paraId="34CAD1E0">
      <w:pPr>
        <w:widowControl/>
        <w:spacing w:line="360" w:lineRule="auto"/>
        <w:ind w:firstLine="480" w:firstLineChars="200"/>
        <w:jc w:val="left"/>
        <w:rPr>
          <w:rFonts w:hint="eastAsia" w:ascii="宋体" w:hAnsi="宋体"/>
          <w:color w:val="000000"/>
          <w:sz w:val="24"/>
        </w:rPr>
      </w:pPr>
    </w:p>
    <w:p w14:paraId="75360982">
      <w:pPr>
        <w:widowControl/>
        <w:spacing w:line="360" w:lineRule="auto"/>
        <w:ind w:firstLine="480" w:firstLineChars="200"/>
        <w:jc w:val="left"/>
        <w:rPr>
          <w:rFonts w:hint="eastAsia" w:ascii="宋体" w:hAnsi="宋体"/>
          <w:color w:val="000000"/>
          <w:sz w:val="24"/>
        </w:rPr>
      </w:pPr>
    </w:p>
    <w:p w14:paraId="03EF3979">
      <w:pPr>
        <w:widowControl/>
        <w:spacing w:line="360" w:lineRule="auto"/>
        <w:ind w:firstLine="480" w:firstLineChars="200"/>
        <w:jc w:val="left"/>
        <w:rPr>
          <w:rFonts w:hint="eastAsia" w:ascii="宋体" w:hAnsi="宋体"/>
          <w:color w:val="000000"/>
          <w:sz w:val="24"/>
        </w:rPr>
      </w:pPr>
    </w:p>
    <w:p w14:paraId="2D5723F4">
      <w:pPr>
        <w:widowControl/>
        <w:spacing w:line="360" w:lineRule="auto"/>
        <w:ind w:firstLine="480" w:firstLineChars="200"/>
        <w:jc w:val="left"/>
        <w:rPr>
          <w:rFonts w:hint="eastAsia" w:ascii="宋体" w:hAnsi="宋体"/>
          <w:color w:val="000000"/>
          <w:sz w:val="24"/>
        </w:rPr>
      </w:pPr>
    </w:p>
    <w:p w14:paraId="2E02DEB7">
      <w:pPr>
        <w:widowControl/>
        <w:spacing w:line="360" w:lineRule="auto"/>
        <w:ind w:firstLine="480" w:firstLineChars="200"/>
        <w:jc w:val="left"/>
        <w:rPr>
          <w:rFonts w:hint="eastAsia" w:ascii="宋体" w:hAnsi="宋体"/>
          <w:color w:val="000000"/>
          <w:sz w:val="24"/>
        </w:rPr>
      </w:pPr>
    </w:p>
    <w:p w14:paraId="186B94D4">
      <w:pPr>
        <w:widowControl/>
        <w:spacing w:line="360" w:lineRule="auto"/>
        <w:jc w:val="left"/>
        <w:rPr>
          <w:rFonts w:hint="eastAsia" w:ascii="宋体" w:hAnsi="宋体"/>
          <w:color w:val="000000"/>
          <w:sz w:val="24"/>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BFD63F"/>
    <w:multiLevelType w:val="singleLevel"/>
    <w:tmpl w:val="E9BFD63F"/>
    <w:lvl w:ilvl="0" w:tentative="0">
      <w:start w:val="1"/>
      <w:numFmt w:val="decimal"/>
      <w:suff w:val="nothing"/>
      <w:lvlText w:val="（%1）"/>
      <w:lvlJc w:val="left"/>
    </w:lvl>
  </w:abstractNum>
  <w:abstractNum w:abstractNumId="1">
    <w:nsid w:val="66D17AC3"/>
    <w:multiLevelType w:val="singleLevel"/>
    <w:tmpl w:val="66D17A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1MGUwYjMyNzJlNjU0NTUyMTFkZmNhNzkzZDI4ZDkifQ=="/>
  </w:docVars>
  <w:rsids>
    <w:rsidRoot w:val="00000000"/>
    <w:rsid w:val="00762482"/>
    <w:rsid w:val="00CA613C"/>
    <w:rsid w:val="00EF2D0C"/>
    <w:rsid w:val="01011432"/>
    <w:rsid w:val="012810B4"/>
    <w:rsid w:val="014D0B1B"/>
    <w:rsid w:val="01B4153C"/>
    <w:rsid w:val="01BB3CD7"/>
    <w:rsid w:val="026305F6"/>
    <w:rsid w:val="031B2C7F"/>
    <w:rsid w:val="03A95C5D"/>
    <w:rsid w:val="03B86720"/>
    <w:rsid w:val="04357D70"/>
    <w:rsid w:val="04433919"/>
    <w:rsid w:val="04BC69F2"/>
    <w:rsid w:val="04F54A98"/>
    <w:rsid w:val="05726DA2"/>
    <w:rsid w:val="0599432F"/>
    <w:rsid w:val="05C1644F"/>
    <w:rsid w:val="05D21833"/>
    <w:rsid w:val="05DD06BF"/>
    <w:rsid w:val="062F259D"/>
    <w:rsid w:val="07373DFF"/>
    <w:rsid w:val="07911761"/>
    <w:rsid w:val="08A65B8C"/>
    <w:rsid w:val="08F806B3"/>
    <w:rsid w:val="092204C0"/>
    <w:rsid w:val="095A5B83"/>
    <w:rsid w:val="099866AB"/>
    <w:rsid w:val="0A0A57FB"/>
    <w:rsid w:val="0A342878"/>
    <w:rsid w:val="0A4371CF"/>
    <w:rsid w:val="0A656ED5"/>
    <w:rsid w:val="0AD32091"/>
    <w:rsid w:val="0BF16C73"/>
    <w:rsid w:val="0C6F5DE9"/>
    <w:rsid w:val="0CDA7707"/>
    <w:rsid w:val="0D505C1B"/>
    <w:rsid w:val="0E0A5DCA"/>
    <w:rsid w:val="0F955B67"/>
    <w:rsid w:val="0F9D0EBF"/>
    <w:rsid w:val="103B7D00"/>
    <w:rsid w:val="108B4C8F"/>
    <w:rsid w:val="11F0177A"/>
    <w:rsid w:val="12807E5E"/>
    <w:rsid w:val="128F77F8"/>
    <w:rsid w:val="12BE53D5"/>
    <w:rsid w:val="12DD0307"/>
    <w:rsid w:val="138252BA"/>
    <w:rsid w:val="14347214"/>
    <w:rsid w:val="143C0CA7"/>
    <w:rsid w:val="14977C8B"/>
    <w:rsid w:val="14E4149C"/>
    <w:rsid w:val="1662251B"/>
    <w:rsid w:val="170D2487"/>
    <w:rsid w:val="178F5592"/>
    <w:rsid w:val="17C4348D"/>
    <w:rsid w:val="181B6E25"/>
    <w:rsid w:val="18775DF0"/>
    <w:rsid w:val="18DF42F7"/>
    <w:rsid w:val="19212219"/>
    <w:rsid w:val="19B27315"/>
    <w:rsid w:val="1A4A5BF4"/>
    <w:rsid w:val="1AE16984"/>
    <w:rsid w:val="1AE31E7C"/>
    <w:rsid w:val="1AF8344E"/>
    <w:rsid w:val="1B0B3181"/>
    <w:rsid w:val="1B6F1962"/>
    <w:rsid w:val="1B6F54BE"/>
    <w:rsid w:val="1B7C5E2D"/>
    <w:rsid w:val="1BA15893"/>
    <w:rsid w:val="1BEA723A"/>
    <w:rsid w:val="1C054074"/>
    <w:rsid w:val="1C2C33AF"/>
    <w:rsid w:val="1C485D0F"/>
    <w:rsid w:val="1E297BDA"/>
    <w:rsid w:val="1EA57449"/>
    <w:rsid w:val="1ED61CF8"/>
    <w:rsid w:val="1EEE7042"/>
    <w:rsid w:val="1F243699"/>
    <w:rsid w:val="1F5367A9"/>
    <w:rsid w:val="20022234"/>
    <w:rsid w:val="231D7EF5"/>
    <w:rsid w:val="23C511A4"/>
    <w:rsid w:val="240115C5"/>
    <w:rsid w:val="25096983"/>
    <w:rsid w:val="256C6F12"/>
    <w:rsid w:val="28060F58"/>
    <w:rsid w:val="283003B0"/>
    <w:rsid w:val="289C7B0E"/>
    <w:rsid w:val="28E15521"/>
    <w:rsid w:val="29693E94"/>
    <w:rsid w:val="2AD80C0E"/>
    <w:rsid w:val="2AF44E03"/>
    <w:rsid w:val="2B762899"/>
    <w:rsid w:val="2B8C79C6"/>
    <w:rsid w:val="2C373C70"/>
    <w:rsid w:val="2CC82C80"/>
    <w:rsid w:val="2D435037"/>
    <w:rsid w:val="2D452523"/>
    <w:rsid w:val="2D5704A8"/>
    <w:rsid w:val="2D8A362C"/>
    <w:rsid w:val="2D8A43D9"/>
    <w:rsid w:val="2DC93154"/>
    <w:rsid w:val="2DE27D71"/>
    <w:rsid w:val="2DE546FB"/>
    <w:rsid w:val="2E0E6DB8"/>
    <w:rsid w:val="2EF44200"/>
    <w:rsid w:val="2F1C0205"/>
    <w:rsid w:val="2F3960B7"/>
    <w:rsid w:val="2FA554FB"/>
    <w:rsid w:val="2FBF14C9"/>
    <w:rsid w:val="30C47DB6"/>
    <w:rsid w:val="31EA01A9"/>
    <w:rsid w:val="32A777DC"/>
    <w:rsid w:val="33092244"/>
    <w:rsid w:val="33525999"/>
    <w:rsid w:val="35A87AF3"/>
    <w:rsid w:val="35AA386B"/>
    <w:rsid w:val="3680281D"/>
    <w:rsid w:val="36873BAC"/>
    <w:rsid w:val="36DB3EF8"/>
    <w:rsid w:val="37215DAE"/>
    <w:rsid w:val="37EB1F18"/>
    <w:rsid w:val="38102C76"/>
    <w:rsid w:val="38117348"/>
    <w:rsid w:val="38196A86"/>
    <w:rsid w:val="387B329C"/>
    <w:rsid w:val="39007C46"/>
    <w:rsid w:val="39C24EFB"/>
    <w:rsid w:val="3A4818A4"/>
    <w:rsid w:val="3A682BE4"/>
    <w:rsid w:val="3AAD5BAB"/>
    <w:rsid w:val="3ACC4283"/>
    <w:rsid w:val="3B0A4DAB"/>
    <w:rsid w:val="3B1D063B"/>
    <w:rsid w:val="3B852732"/>
    <w:rsid w:val="3C574020"/>
    <w:rsid w:val="3D9646D4"/>
    <w:rsid w:val="3DBD4357"/>
    <w:rsid w:val="3DF24001"/>
    <w:rsid w:val="3E372BEA"/>
    <w:rsid w:val="3E3839DE"/>
    <w:rsid w:val="3E976956"/>
    <w:rsid w:val="3F394E6F"/>
    <w:rsid w:val="3F3B7246"/>
    <w:rsid w:val="3F632CDC"/>
    <w:rsid w:val="403703F1"/>
    <w:rsid w:val="4084115C"/>
    <w:rsid w:val="40C07973"/>
    <w:rsid w:val="41E40104"/>
    <w:rsid w:val="426506CF"/>
    <w:rsid w:val="42FF3BDC"/>
    <w:rsid w:val="43DD452C"/>
    <w:rsid w:val="44DB7FE4"/>
    <w:rsid w:val="45073E08"/>
    <w:rsid w:val="45374864"/>
    <w:rsid w:val="45C142B9"/>
    <w:rsid w:val="45C2075D"/>
    <w:rsid w:val="466E2692"/>
    <w:rsid w:val="46733805"/>
    <w:rsid w:val="469F0A9E"/>
    <w:rsid w:val="47653A95"/>
    <w:rsid w:val="47F866B8"/>
    <w:rsid w:val="4819065E"/>
    <w:rsid w:val="48335CE3"/>
    <w:rsid w:val="48AE6D76"/>
    <w:rsid w:val="48BF71D5"/>
    <w:rsid w:val="492B03C7"/>
    <w:rsid w:val="494476DB"/>
    <w:rsid w:val="49E14F29"/>
    <w:rsid w:val="4A857FAB"/>
    <w:rsid w:val="4ACE1952"/>
    <w:rsid w:val="4B2E23F0"/>
    <w:rsid w:val="4B524331"/>
    <w:rsid w:val="4B531E57"/>
    <w:rsid w:val="4B553E21"/>
    <w:rsid w:val="4C39336A"/>
    <w:rsid w:val="4CB30DFF"/>
    <w:rsid w:val="4CE27936"/>
    <w:rsid w:val="4DE33966"/>
    <w:rsid w:val="4E261AA5"/>
    <w:rsid w:val="4E612ADD"/>
    <w:rsid w:val="4EA13985"/>
    <w:rsid w:val="4EC2357B"/>
    <w:rsid w:val="4F2064F4"/>
    <w:rsid w:val="4F500AEC"/>
    <w:rsid w:val="4F541E01"/>
    <w:rsid w:val="4F7416A3"/>
    <w:rsid w:val="4F7C7BCE"/>
    <w:rsid w:val="5006393C"/>
    <w:rsid w:val="509500CB"/>
    <w:rsid w:val="50E33C7D"/>
    <w:rsid w:val="511D0F3D"/>
    <w:rsid w:val="520B6FE7"/>
    <w:rsid w:val="52416EAD"/>
    <w:rsid w:val="52C5188C"/>
    <w:rsid w:val="52FB52AE"/>
    <w:rsid w:val="536C1531"/>
    <w:rsid w:val="538E6122"/>
    <w:rsid w:val="53B06E7F"/>
    <w:rsid w:val="540A5703"/>
    <w:rsid w:val="549B1C4E"/>
    <w:rsid w:val="55140E95"/>
    <w:rsid w:val="560662E9"/>
    <w:rsid w:val="56230EA8"/>
    <w:rsid w:val="56503B63"/>
    <w:rsid w:val="565E1A62"/>
    <w:rsid w:val="56B714EC"/>
    <w:rsid w:val="577B076B"/>
    <w:rsid w:val="57C55E8A"/>
    <w:rsid w:val="58BA3515"/>
    <w:rsid w:val="58D42572"/>
    <w:rsid w:val="58E30CBE"/>
    <w:rsid w:val="5A080E0D"/>
    <w:rsid w:val="5A6776CD"/>
    <w:rsid w:val="5A767910"/>
    <w:rsid w:val="5AD54636"/>
    <w:rsid w:val="5AEF0C54"/>
    <w:rsid w:val="5B0D2022"/>
    <w:rsid w:val="5B3A26EB"/>
    <w:rsid w:val="5B4667BE"/>
    <w:rsid w:val="5B5C4D58"/>
    <w:rsid w:val="5BDB3ECE"/>
    <w:rsid w:val="5C27036C"/>
    <w:rsid w:val="5C871960"/>
    <w:rsid w:val="5CB63FF4"/>
    <w:rsid w:val="5CB974B7"/>
    <w:rsid w:val="5D2412AF"/>
    <w:rsid w:val="5D437F7D"/>
    <w:rsid w:val="5D98375A"/>
    <w:rsid w:val="5D9E3405"/>
    <w:rsid w:val="5DB31FE0"/>
    <w:rsid w:val="5E7F6EA9"/>
    <w:rsid w:val="5ED66BCF"/>
    <w:rsid w:val="5F723C4A"/>
    <w:rsid w:val="5F8403D9"/>
    <w:rsid w:val="5FCF3D4A"/>
    <w:rsid w:val="60082DB8"/>
    <w:rsid w:val="60536729"/>
    <w:rsid w:val="60F129EA"/>
    <w:rsid w:val="60FC0FD2"/>
    <w:rsid w:val="617E77D6"/>
    <w:rsid w:val="619F59B2"/>
    <w:rsid w:val="61C3168D"/>
    <w:rsid w:val="62255EA3"/>
    <w:rsid w:val="628900E5"/>
    <w:rsid w:val="62E53885"/>
    <w:rsid w:val="63B53257"/>
    <w:rsid w:val="64306D81"/>
    <w:rsid w:val="648E1B8E"/>
    <w:rsid w:val="64B81251"/>
    <w:rsid w:val="64CC2DA2"/>
    <w:rsid w:val="660A3DA9"/>
    <w:rsid w:val="669435F8"/>
    <w:rsid w:val="66D659BE"/>
    <w:rsid w:val="67BF7DAC"/>
    <w:rsid w:val="67F307F2"/>
    <w:rsid w:val="68993147"/>
    <w:rsid w:val="689A2A1B"/>
    <w:rsid w:val="699456BD"/>
    <w:rsid w:val="69EC374B"/>
    <w:rsid w:val="69EE74C3"/>
    <w:rsid w:val="6A3C022E"/>
    <w:rsid w:val="6A576E16"/>
    <w:rsid w:val="6A991DC6"/>
    <w:rsid w:val="6B1E16E2"/>
    <w:rsid w:val="6B2036AC"/>
    <w:rsid w:val="6B2833F7"/>
    <w:rsid w:val="6C983716"/>
    <w:rsid w:val="6CA95923"/>
    <w:rsid w:val="6E0E1EE1"/>
    <w:rsid w:val="6FC211D5"/>
    <w:rsid w:val="6FD0639B"/>
    <w:rsid w:val="71D90A58"/>
    <w:rsid w:val="71F238C8"/>
    <w:rsid w:val="72710C91"/>
    <w:rsid w:val="727B0B5E"/>
    <w:rsid w:val="72DB435C"/>
    <w:rsid w:val="73375A36"/>
    <w:rsid w:val="75120509"/>
    <w:rsid w:val="75676403"/>
    <w:rsid w:val="757F1917"/>
    <w:rsid w:val="75F27C1E"/>
    <w:rsid w:val="760E5263"/>
    <w:rsid w:val="763E0E8A"/>
    <w:rsid w:val="765E777E"/>
    <w:rsid w:val="76880F2A"/>
    <w:rsid w:val="76DE48C7"/>
    <w:rsid w:val="76FA74A7"/>
    <w:rsid w:val="770519A8"/>
    <w:rsid w:val="7856695F"/>
    <w:rsid w:val="787778DA"/>
    <w:rsid w:val="78A45DAD"/>
    <w:rsid w:val="79490708"/>
    <w:rsid w:val="797F3721"/>
    <w:rsid w:val="799746CF"/>
    <w:rsid w:val="79C20863"/>
    <w:rsid w:val="79C20A36"/>
    <w:rsid w:val="7A4A42A1"/>
    <w:rsid w:val="7C464F3C"/>
    <w:rsid w:val="7C6A7C35"/>
    <w:rsid w:val="7C6F4493"/>
    <w:rsid w:val="7D80622C"/>
    <w:rsid w:val="7DFB752C"/>
    <w:rsid w:val="7E2E76B5"/>
    <w:rsid w:val="7E372D8F"/>
    <w:rsid w:val="7E553215"/>
    <w:rsid w:val="7E745D91"/>
    <w:rsid w:val="7EC00FD6"/>
    <w:rsid w:val="7FD12D6F"/>
    <w:rsid w:val="7FE744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rPr>
      <w:szCs w:val="24"/>
    </w:rPr>
  </w:style>
  <w:style w:type="character" w:customStyle="1" w:styleId="5">
    <w:name w:val="默认段落字体1"/>
    <w:link w:val="1"/>
    <w:semiHidden/>
    <w:qFormat/>
    <w:uiPriority w:val="0"/>
  </w:style>
  <w:style w:type="table" w:customStyle="1" w:styleId="6">
    <w:name w:val="普通表格1"/>
    <w:semiHidden/>
    <w:qFormat/>
    <w:uiPriority w:val="0"/>
  </w:style>
  <w:style w:type="paragraph" w:customStyle="1" w:styleId="7">
    <w:name w:val="正文文本缩进 21"/>
    <w:qFormat/>
    <w:uiPriority w:val="0"/>
    <w:pPr>
      <w:widowControl w:val="0"/>
      <w:ind w:firstLine="480"/>
      <w:jc w:val="both"/>
    </w:pPr>
    <w:rPr>
      <w:rFonts w:ascii="宋体" w:hAnsi="Times New Roman" w:eastAsia="宋体" w:cs="Times New Roman"/>
      <w:kern w:val="2"/>
      <w:sz w:val="24"/>
      <w:lang w:val="en-US" w:eastAsia="zh-CN" w:bidi="ar-SA"/>
    </w:rPr>
  </w:style>
  <w:style w:type="paragraph" w:customStyle="1" w:styleId="8">
    <w:name w:val="页眉1"/>
    <w:basedOn w:val="1"/>
    <w:link w:val="9"/>
    <w:qFormat/>
    <w:uiPriority w:val="0"/>
    <w:pPr>
      <w:pBdr>
        <w:bottom w:val="single" w:color="000000" w:sz="6" w:space="1"/>
      </w:pBdr>
      <w:tabs>
        <w:tab w:val="center" w:pos="4153"/>
        <w:tab w:val="right" w:pos="8306"/>
      </w:tabs>
      <w:snapToGrid w:val="0"/>
      <w:jc w:val="center"/>
    </w:pPr>
    <w:rPr>
      <w:sz w:val="18"/>
      <w:szCs w:val="18"/>
    </w:rPr>
  </w:style>
  <w:style w:type="character" w:customStyle="1" w:styleId="9">
    <w:name w:val="页眉 Char"/>
    <w:link w:val="8"/>
    <w:qFormat/>
    <w:uiPriority w:val="0"/>
    <w:rPr>
      <w:rFonts w:ascii="Times New Roman" w:hAnsi="Times New Roman"/>
      <w:kern w:val="2"/>
      <w:sz w:val="18"/>
      <w:szCs w:val="18"/>
    </w:rPr>
  </w:style>
  <w:style w:type="paragraph" w:customStyle="1" w:styleId="10">
    <w:name w:val="页脚1"/>
    <w:basedOn w:val="1"/>
    <w:link w:val="11"/>
    <w:qFormat/>
    <w:uiPriority w:val="0"/>
    <w:pPr>
      <w:tabs>
        <w:tab w:val="center" w:pos="4153"/>
        <w:tab w:val="right" w:pos="8306"/>
      </w:tabs>
      <w:snapToGrid w:val="0"/>
      <w:jc w:val="left"/>
    </w:pPr>
    <w:rPr>
      <w:sz w:val="18"/>
      <w:szCs w:val="18"/>
    </w:rPr>
  </w:style>
  <w:style w:type="character" w:customStyle="1" w:styleId="11">
    <w:name w:val="页脚 Char"/>
    <w:link w:val="10"/>
    <w:qFormat/>
    <w:uiPriority w:val="0"/>
    <w:rPr>
      <w:rFonts w:ascii="Times New Roman" w:hAnsi="Times New Roman"/>
      <w:kern w:val="2"/>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3">
    <w:name w:val="List Paragraph"/>
    <w:basedOn w:val="1"/>
    <w:qFormat/>
    <w:uiPriority w:val="0"/>
    <w:pPr>
      <w:ind w:firstLine="420" w:firstLineChars="200"/>
    </w:pPr>
  </w:style>
  <w:style w:type="paragraph" w:customStyle="1" w:styleId="14">
    <w:name w:val="qowt-stl-正文"/>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5556</Words>
  <Characters>5757</Characters>
  <Lines>0</Lines>
  <Paragraphs>0</Paragraphs>
  <TotalTime>10</TotalTime>
  <ScaleCrop>false</ScaleCrop>
  <LinksUpToDate>false</LinksUpToDate>
  <CharactersWithSpaces>5770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2023-08-30T00:49:00Z</dcterms:created>
  <dc:creator>Administrator</dc:creator>
  <cp:lastModifiedBy>左耳</cp:lastModifiedBy>
  <dcterms:modified xsi:type="dcterms:W3CDTF">2024-08-23T09:26:16Z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E1CAB31EC66845E69B9B74A8A960B077_13</vt:lpwstr>
  </property>
</Properties>
</file>