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方正小标宋_GBK"/>
          <w:bCs/>
          <w:sz w:val="44"/>
          <w:szCs w:val="44"/>
        </w:rPr>
        <w:t>常州市新北区优秀教师培育室学年度考核评价表（试行）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方正小标宋_GBK"/>
          <w:bCs/>
          <w:sz w:val="30"/>
          <w:szCs w:val="30"/>
        </w:rPr>
      </w:pPr>
      <w:r>
        <w:rPr>
          <w:rFonts w:hint="eastAsia" w:ascii="华文中宋" w:hAnsi="华文中宋" w:eastAsia="华文中宋" w:cs="方正小标宋_GBK"/>
          <w:bCs/>
          <w:sz w:val="30"/>
          <w:szCs w:val="30"/>
        </w:rPr>
        <w:t>（自评表）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黑体" w:asciiTheme="minorEastAsia" w:hAnsiTheme="minorEastAsia" w:eastAsiaTheme="minorEastAsia"/>
          <w:sz w:val="24"/>
        </w:rPr>
      </w:pPr>
      <w:r>
        <w:rPr>
          <w:rFonts w:hint="eastAsia" w:ascii="黑体" w:hAnsi="黑体" w:eastAsia="黑体" w:cs="黑体"/>
          <w:sz w:val="24"/>
        </w:rPr>
        <w:t>培育室领衔人姓名：</w:t>
      </w:r>
      <w:r>
        <w:rPr>
          <w:rFonts w:hint="eastAsia" w:ascii="黑体" w:hAnsi="黑体" w:eastAsia="黑体" w:cs="黑体"/>
          <w:sz w:val="24"/>
          <w:u w:val="single"/>
        </w:rPr>
        <w:t xml:space="preserve"> </w:t>
      </w:r>
      <w:r>
        <w:rPr>
          <w:rFonts w:hint="eastAsia" w:cs="黑体" w:asciiTheme="minorEastAsia" w:hAnsiTheme="minorEastAsia" w:eastAsiaTheme="minorEastAsia"/>
          <w:sz w:val="24"/>
          <w:u w:val="single"/>
          <w:lang w:val="en-US" w:eastAsia="zh-CN"/>
        </w:rPr>
        <w:t>祁琴花</w:t>
      </w:r>
      <w:r>
        <w:rPr>
          <w:rFonts w:hint="eastAsia" w:cs="黑体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cs="黑体" w:asciiTheme="minorEastAsia" w:hAnsiTheme="minorEastAsia" w:eastAsiaTheme="minorEastAsia"/>
          <w:sz w:val="24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    </w:t>
      </w:r>
      <w:r>
        <w:rPr>
          <w:rFonts w:hint="eastAsia" w:cs="黑体" w:asciiTheme="minorEastAsia" w:hAnsiTheme="minorEastAsia" w:eastAsiaTheme="minorEastAsia"/>
          <w:sz w:val="24"/>
        </w:rPr>
        <w:t xml:space="preserve">     </w:t>
      </w:r>
      <w:r>
        <w:rPr>
          <w:rFonts w:hint="eastAsia" w:ascii="黑体" w:hAnsi="黑体" w:eastAsia="黑体" w:cs="黑体"/>
          <w:sz w:val="24"/>
        </w:rPr>
        <w:t xml:space="preserve">                      考核时间：</w:t>
      </w:r>
      <w:r>
        <w:rPr>
          <w:rFonts w:hint="eastAsia" w:cs="黑体" w:asciiTheme="minorEastAsia" w:hAnsiTheme="minorEastAsia" w:eastAsiaTheme="minorEastAsia"/>
          <w:sz w:val="24"/>
        </w:rPr>
        <w:t xml:space="preserve">2023.9.1-2024.6.30 </w:t>
      </w:r>
      <w:r>
        <w:rPr>
          <w:rFonts w:hint="eastAsia" w:ascii="黑体" w:hAnsi="黑体" w:eastAsia="黑体" w:cs="黑体"/>
          <w:sz w:val="24"/>
        </w:rPr>
        <w:t xml:space="preserve">      </w:t>
      </w:r>
      <w:r>
        <w:rPr>
          <w:rFonts w:hint="eastAsia" w:cs="黑体" w:asciiTheme="minorEastAsia" w:hAnsiTheme="minorEastAsia" w:eastAsiaTheme="minorEastAsia"/>
          <w:sz w:val="24"/>
        </w:rPr>
        <w:t xml:space="preserve">  </w:t>
      </w:r>
    </w:p>
    <w:tbl>
      <w:tblPr>
        <w:tblStyle w:val="2"/>
        <w:tblW w:w="15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45"/>
        <w:gridCol w:w="765"/>
        <w:gridCol w:w="1425"/>
        <w:gridCol w:w="3472"/>
        <w:gridCol w:w="750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评价指标</w:t>
            </w:r>
          </w:p>
        </w:tc>
        <w:tc>
          <w:tcPr>
            <w:tcW w:w="544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评价内容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分值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评价方式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自评概述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自评得分</w:t>
            </w: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问题与对策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A1</w:t>
            </w: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基础性指标</w:t>
            </w: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B1培育室建设规范。工作实施方案、活动开展过程性资料、阶段总结等完整。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建设规范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，资料完整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2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培育室成员专业发展的需求不平衡。部分成员有强烈的专业发展欲望，把培育室研修作为发展的平台，积极参与研修活动，认真完成各项任务。但少部分成员对待研修活动比较敷衍，经常以各种理由请假。因而一年中成员发展的成果差异很大。后续工作中，加强制度建设，加强过程性考核，用制度管人与育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成员参与的两个课题研究尚未深入展开。可以探究以课例研究为主，缺少理论的提炼，缺乏深入调研及、数据的分析以及文献的研究。因而研究成果缺乏高度。论文发表质量不高。后续需要更多聘请课题研究专家，加强课题研究的指导分析，开展实证研究与数据支撑研究，提炼精品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3.论文发展品质不够高。获奖档次较低，发表的杂志品质不高。后续需要加强论文写作指导，更多聘请跨学科专业给予教师论文写作指导，开展一对一论文写作培训。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B2内部管理完善。成员考勤记录完整、档案信息齐全规范，领衔人及助理工作职责明确，经费使用严格执行财务制度。</w:t>
            </w:r>
            <w:r>
              <w:rPr>
                <w:rFonts w:hint="eastAsia" w:ascii="宋体" w:hAnsi="宋体" w:cs="仿宋"/>
                <w:color w:val="FF0000"/>
                <w:szCs w:val="21"/>
              </w:rPr>
              <w:t>（经费支出情况不上传网站，材料另报，占5分</w:t>
            </w:r>
            <w:r>
              <w:rPr>
                <w:rFonts w:ascii="宋体" w:hAnsi="宋体" w:cs="仿宋"/>
                <w:color w:val="FF0000"/>
                <w:szCs w:val="21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分工明确，管理完善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B3培育室活动有序。每年集中研修活动不少于10天（80学时），活动内容丰富，活动方式多元。</w:t>
            </w:r>
            <w:r>
              <w:rPr>
                <w:rFonts w:hint="eastAsia" w:ascii="宋体" w:hAnsi="宋体" w:cs="仿宋"/>
                <w:color w:val="FF0000"/>
                <w:szCs w:val="21"/>
              </w:rPr>
              <w:t>（每少半天扣2分）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活动有序，共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10天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40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B4领衔人示范辐射到位。领衔人每学年面向全体成员上示范课或作讲座不少于4次。</w:t>
            </w:r>
            <w:r>
              <w:rPr>
                <w:rFonts w:hint="eastAsia" w:ascii="宋体" w:hAnsi="宋体" w:cs="仿宋"/>
                <w:color w:val="FF0000"/>
                <w:szCs w:val="21"/>
              </w:rPr>
              <w:t>（每少一次扣5分）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亲身示范，课与讲座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3次，示范课一次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20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B5项目研究有效。按计划推进项目建设，有阶段性项目研究成果。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查阅网页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研究扎实，成果丰硕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20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A2</w:t>
            </w: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测评性指标</w:t>
            </w: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B6年度汇报展示。每年7月初各培育室现场汇报展示一年的活动与成果，由专家评委和大众评委现场测评打分，专家评委占60%，大众评委占40%。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50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现场展示考评，汇报展示的形式由各培育室自定。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——————————————————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A3</w:t>
            </w: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发展性指标</w:t>
            </w: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B7综合荣誉：省级8分，市级5分，区级3，校级1分。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按实际成果打分，不封顶。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</w:t>
            </w:r>
            <w:r>
              <w:rPr>
                <w:rFonts w:hint="eastAsia" w:ascii="宋体" w:hAnsi="宋体" w:cs="仿宋"/>
                <w:spacing w:val="-6"/>
                <w:szCs w:val="21"/>
              </w:rPr>
              <w:t>阅网页（分类汇总后上传于网页“成果展示”栏目）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区级1人，镇校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szCs w:val="21"/>
              </w:rPr>
              <w:t>人次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13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pacing w:val="-6"/>
                <w:szCs w:val="21"/>
              </w:rPr>
            </w:pPr>
            <w:r>
              <w:rPr>
                <w:rFonts w:hint="eastAsia" w:ascii="宋体" w:hAnsi="宋体" w:cs="仿宋"/>
                <w:spacing w:val="-6"/>
                <w:szCs w:val="21"/>
              </w:rPr>
              <w:t>B8单项荣誉：省级3分，市级2分，区级1分，校级0.5分。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市级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3人次</w:t>
            </w:r>
            <w:r>
              <w:rPr>
                <w:rFonts w:hint="eastAsia" w:ascii="宋体" w:hAnsi="宋体" w:cs="仿宋"/>
                <w:szCs w:val="21"/>
              </w:rPr>
              <w:t>，区级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szCs w:val="21"/>
              </w:rPr>
              <w:t>人次。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11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B9论文发表：国家级核心期刊10分，省级及以上刊物3分，市级刊物2分。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发表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省级</w:t>
            </w:r>
            <w:r>
              <w:rPr>
                <w:rFonts w:hint="eastAsia" w:ascii="宋体" w:hAnsi="宋体" w:cs="仿宋"/>
                <w:szCs w:val="21"/>
              </w:rPr>
              <w:t>论文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仿宋"/>
                <w:szCs w:val="21"/>
              </w:rPr>
              <w:t>篇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其中国家级核心期刊2篇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68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B10论文获奖：省一等奖3分，省二等奖2分，省三等奖1分，市一等奖2分，市二等奖1分，市三等奖0.5分，区一等奖1分，区二等奖0.5分。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both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获奖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szCs w:val="21"/>
              </w:rPr>
              <w:t>篇，省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仿宋"/>
                <w:szCs w:val="21"/>
              </w:rPr>
              <w:t>等奖1篇，市一等奖1篇，市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仿宋"/>
                <w:szCs w:val="21"/>
              </w:rPr>
              <w:t>等奖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篇，区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仿宋"/>
                <w:szCs w:val="21"/>
              </w:rPr>
              <w:t>等奖3篇。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7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A3</w:t>
            </w: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发展性指标</w:t>
            </w: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B11课题研究：主持省级课题5分，主持市级课题3分，主持区级课题1分。区微型课题一等奖1分，二等奖0.5分。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按实际成果打分，不封顶。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查</w:t>
            </w:r>
            <w:r>
              <w:rPr>
                <w:rFonts w:hint="eastAsia" w:ascii="宋体" w:hAnsi="宋体" w:cs="仿宋"/>
                <w:spacing w:val="-6"/>
                <w:szCs w:val="21"/>
              </w:rPr>
              <w:t>阅网页（分类汇总后上传于网页“成果展示”栏目）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主持市备案课题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项，市课题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项主持区课题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szCs w:val="21"/>
              </w:rPr>
              <w:t>项，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15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B12公开课：省级5分，市级2分，区级1分。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市公开课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节，区公开课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仿宋"/>
                <w:szCs w:val="21"/>
              </w:rPr>
              <w:t>节。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28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B13讲座：省级5分，市级2分，区级1分。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both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市级讲座1次，</w:t>
            </w:r>
            <w:r>
              <w:rPr>
                <w:rFonts w:hint="eastAsia" w:ascii="宋体" w:hAnsi="宋体" w:cs="仿宋"/>
                <w:szCs w:val="21"/>
              </w:rPr>
              <w:t>区讲座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7次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9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B14评优课、基本功：省一等奖8分，省二等奖6分，市一等奖6分，市二等奖4分，市三等奖2分，区一等奖4分，区二等奖2分，区三等奖1分。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，区一等奖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Cs w:val="21"/>
              </w:rPr>
              <w:t>人，二等奖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人，三等奖2人，共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人次。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16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B15教育教学单项比赛：省一等奖4分，省二等奖3分，省三等奖2分，市一等奖3分，市二等奖2分，市三等奖1分，区一等奖2分，区二等奖1分，区三等奖0.5分。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both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Cs w:val="21"/>
              </w:rPr>
              <w:t>项区级以上团体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一等奖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center" w:pos="327"/>
                <w:tab w:val="left" w:pos="497"/>
              </w:tabs>
              <w:jc w:val="left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12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B16专业称号、职称晋升：专业称号、职称在原有基础上有晋升每人次4分。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职称晋升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人，专业称号晋升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8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B17教学成果奖：省级一等奖10分，省级二等奖8分，省级三等奖6分，市一等奖8分，市二等奖6分，市三等奖4分，区一等奖6分，区二等奖4分，区三等奖2分。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2024.1第五届全国丽声英语阅读教学课例 三等奖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6</w:t>
            </w:r>
          </w:p>
        </w:tc>
        <w:tc>
          <w:tcPr>
            <w:tcW w:w="26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>
      <w:pPr>
        <w:spacing w:line="240" w:lineRule="exact"/>
        <w:ind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考核说明：1、发展性指标的成果含培育室领衔人和所有成员，按每人每次累加。</w:t>
      </w:r>
    </w:p>
    <w:p>
      <w:pPr>
        <w:spacing w:line="240" w:lineRule="exact"/>
        <w:ind w:left="1803" w:leftChars="713" w:hanging="306" w:hangingChars="146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2、论文获奖主要指教育行政主管部门、教研机构、教师发展机构、电教机构组织的论文评比活动，同一篇论文不累计，省教育学会组织的论文评比得分减半，杂志社等上述机构不予认可。</w:t>
      </w:r>
    </w:p>
    <w:p>
      <w:pPr>
        <w:spacing w:line="240" w:lineRule="exact"/>
        <w:ind w:firstLine="1497" w:firstLineChars="713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3、课题研究主要指主持的规划课题、教研课题和电教课题，子课题和参与课题不予认可。</w:t>
      </w:r>
    </w:p>
    <w:p>
      <w:pPr>
        <w:spacing w:line="240" w:lineRule="exact"/>
        <w:ind w:firstLine="1497" w:firstLineChars="713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4、上述未涉及的其他特殊成果具体商议决定。5、学年度考核周期为当年度9月1日（第二、三学年为7月1日）至次年6月30日。</w:t>
      </w:r>
    </w:p>
    <w:p>
      <w:pPr>
        <w:rPr>
          <w:rFonts w:hint="eastAsia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414A0556"/>
    <w:rsid w:val="414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2024-07-05T00:27:00Z</dcterms:created>
  <dc:creator>刘梦姣</dc:creator>
  <cp:lastModifiedBy>刘梦姣</cp:lastModifiedBy>
  <dcterms:modified xsi:type="dcterms:W3CDTF">2024-07-05T00:28:47Z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379480C80B394FB6A79DE8DE8B39DDDC_11</vt:lpwstr>
  </property>
</Properties>
</file>