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vertAlign w:val="baseline"/>
          <w:lang w:val="en-US" w:eastAsia="zh-CN"/>
        </w:rPr>
      </w:pPr>
      <w:r>
        <w:rPr>
          <w:rFonts w:hint="eastAsia"/>
          <w:b/>
          <w:bCs/>
          <w:sz w:val="44"/>
          <w:szCs w:val="44"/>
          <w:vertAlign w:val="baseline"/>
          <w:lang w:val="en-US" w:eastAsia="zh-CN"/>
        </w:rPr>
        <w:t>芙蓉小学2023-2024学年第二学期</w:t>
      </w:r>
    </w:p>
    <w:p>
      <w:pPr>
        <w:jc w:val="center"/>
        <w:rPr>
          <w:rFonts w:hint="default"/>
          <w:b/>
          <w:bCs/>
          <w:sz w:val="36"/>
          <w:szCs w:val="36"/>
          <w:vertAlign w:val="baseline"/>
          <w:lang w:val="en-US" w:eastAsia="zh-CN"/>
        </w:rPr>
      </w:pPr>
      <w:r>
        <w:rPr>
          <w:rFonts w:hint="eastAsia"/>
          <w:b/>
          <w:bCs/>
          <w:sz w:val="36"/>
          <w:szCs w:val="36"/>
          <w:u w:val="single"/>
          <w:vertAlign w:val="baseline"/>
          <w:lang w:val="en-US" w:eastAsia="zh-CN"/>
        </w:rPr>
        <w:t>四年级数学备课组</w:t>
      </w:r>
      <w:r>
        <w:rPr>
          <w:rFonts w:hint="eastAsia"/>
          <w:b/>
          <w:bCs/>
          <w:sz w:val="36"/>
          <w:szCs w:val="36"/>
          <w:vertAlign w:val="baseline"/>
          <w:lang w:val="en-US" w:eastAsia="zh-CN"/>
        </w:rPr>
        <w:t>活动签到表 （第 14次活动）</w:t>
      </w:r>
    </w:p>
    <w:tbl>
      <w:tblPr>
        <w:tblStyle w:val="6"/>
        <w:tblpPr w:leftFromText="180" w:rightFromText="180" w:vertAnchor="text" w:horzAnchor="page" w:tblpX="1838"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009"/>
        <w:gridCol w:w="401"/>
        <w:gridCol w:w="2410"/>
        <w:gridCol w:w="422"/>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主题</w:t>
            </w:r>
          </w:p>
        </w:tc>
        <w:tc>
          <w:tcPr>
            <w:tcW w:w="7232" w:type="dxa"/>
            <w:gridSpan w:val="5"/>
            <w:vAlign w:val="center"/>
          </w:tcPr>
          <w:p>
            <w:pPr>
              <w:spacing w:line="600" w:lineRule="auto"/>
              <w:jc w:val="center"/>
              <w:rPr>
                <w:rFonts w:hint="default" w:eastAsiaTheme="minorEastAsia"/>
                <w:sz w:val="32"/>
                <w:szCs w:val="32"/>
                <w:vertAlign w:val="baseline"/>
                <w:lang w:val="en-US" w:eastAsia="zh-CN"/>
              </w:rPr>
            </w:pPr>
            <w:r>
              <w:rPr>
                <w:rFonts w:hint="default" w:eastAsiaTheme="minorEastAsia"/>
                <w:sz w:val="32"/>
                <w:szCs w:val="32"/>
                <w:vertAlign w:val="baseline"/>
                <w:lang w:val="en-US" w:eastAsia="zh-CN"/>
              </w:rPr>
              <w:t>聚焦常态教学 赋能课堂提质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内容</w:t>
            </w:r>
          </w:p>
        </w:tc>
        <w:tc>
          <w:tcPr>
            <w:tcW w:w="2410" w:type="dxa"/>
            <w:gridSpan w:val="2"/>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运算律</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主讲人</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陈艳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时间</w:t>
            </w:r>
          </w:p>
        </w:tc>
        <w:tc>
          <w:tcPr>
            <w:tcW w:w="2410" w:type="dxa"/>
            <w:gridSpan w:val="2"/>
            <w:vAlign w:val="center"/>
          </w:tcPr>
          <w:p>
            <w:pPr>
              <w:jc w:val="center"/>
              <w:rPr>
                <w:rFonts w:hint="default"/>
                <w:sz w:val="32"/>
                <w:szCs w:val="32"/>
                <w:vertAlign w:val="baseline"/>
                <w:lang w:val="en-US"/>
              </w:rPr>
            </w:pPr>
            <w:r>
              <w:rPr>
                <w:rFonts w:hint="eastAsia"/>
                <w:sz w:val="24"/>
                <w:szCs w:val="24"/>
                <w:vertAlign w:val="baseline"/>
                <w:lang w:val="en-US" w:eastAsia="zh-CN"/>
              </w:rPr>
              <w:t>2024.5.28</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地点</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序号</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姓名</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到场签名</w:t>
            </w:r>
          </w:p>
        </w:tc>
        <w:tc>
          <w:tcPr>
            <w:tcW w:w="19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1</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859155" cy="360045"/>
                  <wp:effectExtent l="0" t="0" r="0" b="0"/>
                  <wp:docPr id="3" name="图片 3" descr="3d6595941af8db36296b7b19a4b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6595941af8db36296b7b19a4be39d"/>
                          <pic:cNvPicPr>
                            <a:picLocks noChangeAspect="1"/>
                          </pic:cNvPicPr>
                        </pic:nvPicPr>
                        <pic:blipFill>
                          <a:blip r:embed="rId4">
                            <a:clrChange>
                              <a:clrFrom>
                                <a:srgbClr val="FFFFFF">
                                  <a:alpha val="100000"/>
                                </a:srgbClr>
                              </a:clrFrom>
                              <a:clrTo>
                                <a:srgbClr val="FFFFFF">
                                  <a:alpha val="100000"/>
                                  <a:alpha val="0"/>
                                </a:srgbClr>
                              </a:clrTo>
                            </a:clrChange>
                          </a:blip>
                          <a:srcRect l="23023" t="52357" r="27309" b="32084"/>
                          <a:stretch>
                            <a:fillRect/>
                          </a:stretch>
                        </pic:blipFill>
                        <pic:spPr>
                          <a:xfrm>
                            <a:off x="0" y="0"/>
                            <a:ext cx="859155" cy="36004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2</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孙小婷</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default" w:eastAsiaTheme="minorEastAsia"/>
                <w:sz w:val="32"/>
                <w:szCs w:val="32"/>
                <w:vertAlign w:val="baseline"/>
                <w:lang w:val="en-US" w:eastAsia="zh-CN"/>
              </w:rPr>
              <w:drawing>
                <wp:anchor distT="0" distB="0" distL="114300" distR="114300" simplePos="0" relativeHeight="251659264" behindDoc="0" locked="0" layoutInCell="1" allowOverlap="1">
                  <wp:simplePos x="0" y="0"/>
                  <wp:positionH relativeFrom="column">
                    <wp:posOffset>526415</wp:posOffset>
                  </wp:positionH>
                  <wp:positionV relativeFrom="paragraph">
                    <wp:posOffset>98425</wp:posOffset>
                  </wp:positionV>
                  <wp:extent cx="815340" cy="394970"/>
                  <wp:effectExtent l="0" t="0" r="0" b="11430"/>
                  <wp:wrapSquare wrapText="bothSides"/>
                  <wp:docPr id="2" name="图片 2" descr="c3462798c34c6e0b78a3b7b6ed1d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62798c34c6e0b78a3b7b6ed1deb6"/>
                          <pic:cNvPicPr>
                            <a:picLocks noChangeAspect="1"/>
                          </pic:cNvPicPr>
                        </pic:nvPicPr>
                        <pic:blipFill>
                          <a:blip r:embed="rId5">
                            <a:clrChange>
                              <a:clrFrom>
                                <a:srgbClr val="FFFFFF">
                                  <a:alpha val="100000"/>
                                </a:srgbClr>
                              </a:clrFrom>
                              <a:clrTo>
                                <a:srgbClr val="FFFFFF">
                                  <a:alpha val="100000"/>
                                  <a:alpha val="0"/>
                                </a:srgbClr>
                              </a:clrTo>
                            </a:clrChange>
                          </a:blip>
                          <a:srcRect l="32422" t="32507" r="38799" b="42745"/>
                          <a:stretch>
                            <a:fillRect/>
                          </a:stretch>
                        </pic:blipFill>
                        <pic:spPr>
                          <a:xfrm>
                            <a:off x="0" y="0"/>
                            <a:ext cx="815340" cy="394970"/>
                          </a:xfrm>
                          <a:prstGeom prst="rect">
                            <a:avLst/>
                          </a:prstGeom>
                        </pic:spPr>
                      </pic:pic>
                    </a:graphicData>
                  </a:graphic>
                </wp:anchor>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3</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陈艳</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788670" cy="399415"/>
                  <wp:effectExtent l="0" t="0" r="0" b="0"/>
                  <wp:docPr id="4" name="图片 4" descr="7ceceee3948096cab5a1802dd36f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eceee3948096cab5a1802dd36fc35"/>
                          <pic:cNvPicPr>
                            <a:picLocks noChangeAspect="1"/>
                          </pic:cNvPicPr>
                        </pic:nvPicPr>
                        <pic:blipFill>
                          <a:blip r:embed="rId6">
                            <a:clrChange>
                              <a:clrFrom>
                                <a:srgbClr val="FFFFFF">
                                  <a:alpha val="100000"/>
                                </a:srgbClr>
                              </a:clrFrom>
                              <a:clrTo>
                                <a:srgbClr val="FFFFFF">
                                  <a:alpha val="100000"/>
                                  <a:alpha val="0"/>
                                </a:srgbClr>
                              </a:clrTo>
                            </a:clrChange>
                          </a:blip>
                          <a:srcRect l="18624" t="33532" r="41107" b="30253"/>
                          <a:stretch>
                            <a:fillRect/>
                          </a:stretch>
                        </pic:blipFill>
                        <pic:spPr>
                          <a:xfrm>
                            <a:off x="0" y="0"/>
                            <a:ext cx="788670" cy="39941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4</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5</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6</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7</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8</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9</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10</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bl>
    <w:p>
      <w:pPr>
        <w:jc w:val="both"/>
        <w:rPr>
          <w:rFonts w:hint="eastAsia"/>
          <w:sz w:val="28"/>
          <w:szCs w:val="28"/>
          <w:lang w:val="en-US" w:eastAsia="zh-CN"/>
        </w:rPr>
      </w:pPr>
      <w:r>
        <w:rPr>
          <w:rFonts w:hint="eastAsia"/>
          <w:sz w:val="28"/>
          <w:szCs w:val="28"/>
          <w:vertAlign w:val="baseline"/>
          <w:lang w:val="en-US" w:eastAsia="zh-CN"/>
        </w:rPr>
        <w:t>备注：每次活动结束后，教研组长、备课组长及时收齐所有资料。</w:t>
      </w:r>
      <w:r>
        <w:rPr>
          <w:rFonts w:hint="eastAsia"/>
          <w:sz w:val="28"/>
          <w:szCs w:val="28"/>
          <w:lang w:val="en-US" w:eastAsia="zh-CN"/>
        </w:rPr>
        <w:br w:type="page"/>
      </w:r>
    </w:p>
    <w:p>
      <w:pPr>
        <w:jc w:val="center"/>
        <w:rPr>
          <w:rFonts w:hint="eastAsia"/>
          <w:sz w:val="28"/>
          <w:szCs w:val="28"/>
          <w:lang w:val="en-US" w:eastAsia="zh-CN"/>
        </w:rPr>
      </w:pPr>
      <w:r>
        <w:rPr>
          <w:rFonts w:hint="eastAsia"/>
          <w:sz w:val="28"/>
          <w:szCs w:val="28"/>
          <w:lang w:val="en-US" w:eastAsia="zh-CN"/>
        </w:rPr>
        <w:t>四年级数学备课组活动记录</w:t>
      </w:r>
    </w:p>
    <w:tbl>
      <w:tblPr>
        <w:tblStyle w:val="6"/>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65"/>
        <w:gridCol w:w="256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    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聚焦常态教学 赋能课堂提质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内    容</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运算律</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主讲人</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陈艳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时    间</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2024.5.28</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地  点</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参</w:t>
            </w:r>
          </w:p>
          <w:p>
            <w:pPr>
              <w:jc w:val="center"/>
              <w:rPr>
                <w:rFonts w:hint="eastAsia"/>
                <w:sz w:val="24"/>
                <w:szCs w:val="24"/>
                <w:vertAlign w:val="baseline"/>
                <w:lang w:val="en-US" w:eastAsia="zh-CN"/>
              </w:rPr>
            </w:pPr>
            <w:r>
              <w:rPr>
                <w:rFonts w:hint="eastAsia"/>
                <w:sz w:val="24"/>
                <w:szCs w:val="24"/>
                <w:vertAlign w:val="baseline"/>
                <w:lang w:val="en-US" w:eastAsia="zh-CN"/>
              </w:rPr>
              <w:t>加</w:t>
            </w:r>
          </w:p>
          <w:p>
            <w:pPr>
              <w:jc w:val="center"/>
              <w:rPr>
                <w:rFonts w:hint="eastAsia"/>
                <w:sz w:val="24"/>
                <w:szCs w:val="24"/>
                <w:vertAlign w:val="baseline"/>
                <w:lang w:val="en-US" w:eastAsia="zh-CN"/>
              </w:rPr>
            </w:pPr>
            <w:r>
              <w:rPr>
                <w:rFonts w:hint="eastAsia"/>
                <w:sz w:val="24"/>
                <w:szCs w:val="24"/>
                <w:vertAlign w:val="baseline"/>
                <w:lang w:val="en-US" w:eastAsia="zh-CN"/>
              </w:rPr>
              <w:t>人</w:t>
            </w:r>
          </w:p>
          <w:p>
            <w:pPr>
              <w:jc w:val="center"/>
              <w:rPr>
                <w:rFonts w:hint="eastAsia"/>
                <w:sz w:val="24"/>
                <w:szCs w:val="24"/>
                <w:vertAlign w:val="baseline"/>
                <w:lang w:val="en-US" w:eastAsia="zh-CN"/>
              </w:rPr>
            </w:pPr>
            <w:r>
              <w:rPr>
                <w:rFonts w:hint="eastAsia"/>
                <w:sz w:val="24"/>
                <w:szCs w:val="24"/>
                <w:vertAlign w:val="baseline"/>
                <w:lang w:val="en-US" w:eastAsia="zh-CN"/>
              </w:rPr>
              <w:t>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陈艳、叶婷、孙小婷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活</w:t>
            </w:r>
          </w:p>
          <w:p>
            <w:pPr>
              <w:jc w:val="center"/>
              <w:rPr>
                <w:rFonts w:hint="eastAsia"/>
                <w:sz w:val="24"/>
                <w:szCs w:val="24"/>
                <w:vertAlign w:val="baseline"/>
                <w:lang w:val="en-US" w:eastAsia="zh-CN"/>
              </w:rPr>
            </w:pPr>
            <w:r>
              <w:rPr>
                <w:rFonts w:hint="eastAsia"/>
                <w:sz w:val="24"/>
                <w:szCs w:val="24"/>
                <w:vertAlign w:val="baseline"/>
                <w:lang w:val="en-US" w:eastAsia="zh-CN"/>
              </w:rPr>
              <w:t>动</w:t>
            </w:r>
          </w:p>
          <w:p>
            <w:pPr>
              <w:jc w:val="center"/>
              <w:rPr>
                <w:rFonts w:hint="eastAsia"/>
                <w:sz w:val="24"/>
                <w:szCs w:val="24"/>
                <w:vertAlign w:val="baseline"/>
                <w:lang w:val="en-US" w:eastAsia="zh-CN"/>
              </w:rPr>
            </w:pPr>
            <w:r>
              <w:rPr>
                <w:rFonts w:hint="eastAsia"/>
                <w:sz w:val="24"/>
                <w:szCs w:val="24"/>
                <w:vertAlign w:val="baseline"/>
                <w:lang w:val="en-US" w:eastAsia="zh-CN"/>
              </w:rPr>
              <w:t>过</w:t>
            </w:r>
          </w:p>
          <w:p>
            <w:pPr>
              <w:jc w:val="center"/>
              <w:rPr>
                <w:rFonts w:hint="eastAsia"/>
                <w:sz w:val="24"/>
                <w:szCs w:val="24"/>
                <w:vertAlign w:val="baseline"/>
                <w:lang w:val="en-US" w:eastAsia="zh-CN"/>
              </w:rPr>
            </w:pPr>
            <w:r>
              <w:rPr>
                <w:rFonts w:hint="eastAsia"/>
                <w:sz w:val="24"/>
                <w:szCs w:val="24"/>
                <w:vertAlign w:val="baseline"/>
                <w:lang w:val="en-US" w:eastAsia="zh-CN"/>
              </w:rPr>
              <w:t>程</w:t>
            </w:r>
          </w:p>
        </w:tc>
        <w:tc>
          <w:tcPr>
            <w:tcW w:w="7696" w:type="dxa"/>
            <w:gridSpan w:val="3"/>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default" w:ascii="宋体" w:hAnsi="宋体" w:eastAsia="宋体" w:cs="宋体"/>
                <w:color w:val="auto"/>
                <w:sz w:val="24"/>
                <w:szCs w:val="24"/>
                <w:bdr w:val="none" w:color="auto" w:sz="0" w:space="0"/>
                <w:lang w:val="en-US" w:eastAsia="zh-CN"/>
              </w:rPr>
            </w:pPr>
            <w:r>
              <w:rPr>
                <w:rFonts w:hint="eastAsia" w:ascii="宋体" w:hAnsi="宋体" w:eastAsia="宋体" w:cs="宋体"/>
                <w:color w:val="auto"/>
                <w:sz w:val="24"/>
                <w:szCs w:val="24"/>
                <w:bdr w:val="none" w:color="auto" w:sz="0" w:space="0"/>
                <w:lang w:val="en-US" w:eastAsia="zh-CN"/>
              </w:rPr>
              <w:t>一、理论学习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运算律是运算体系中，最具有普遍意义的规律，是运算的基本性质。可作为推理的依据。本单元所学习的五条运算律，不仅适用于整数的加法和乘法也适用于有理数的加法和乘法。随着数的范围的进一步扩展，在实数甚至负数的加法和乘法中，他们仍然成立。因此这五条运算律在数学中具有重要的地位和作用，被誉为数学大厦的基石，对数学教学也有着重要的意义和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对于数学运算律，学生在前面的学习中，已经有广泛的接触，特别是对于加法、乘法的可交换性、可结合性，已经有充分的认知经验。在一年级学生学习了加法和减法，在此基础上接触了加法交换律和加法结合律。二年级上册学生学习乘法初步认识、乘法口诀接触了乘法交换律。三年级上册长方形的周长公式、三年级下册的两位数乘两位数，以及四年级上册的三位数乘两位数利用数形结合的方法初步接触了乘法分配律，四年级下册学习了运算定律以及整数加法运算定律推广到小数。五年级上册学习用字母表示运算律以及用运算律解方程。五年级下册学习整数乘法运算律推广到小数。六年级上册学习整数乘法运算律推广到分数。本单元的学习中，更多的是结合学生已有的经验，从具体数据的讨论上升到规律的发现与归纳，最终形成相应的数学模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宋体" w:hAnsi="宋体" w:eastAsia="宋体" w:cs="宋体"/>
                <w:color w:val="auto"/>
                <w:sz w:val="24"/>
                <w:szCs w:val="24"/>
                <w:bdr w:val="none" w:color="auto" w:sz="0" w:space="0"/>
              </w:rPr>
            </w:pPr>
            <w:r>
              <w:rPr>
                <w:rFonts w:hint="eastAsia" w:ascii="宋体" w:hAnsi="宋体" w:eastAsia="宋体" w:cs="宋体"/>
                <w:color w:val="auto"/>
                <w:sz w:val="24"/>
                <w:szCs w:val="24"/>
                <w:bdr w:val="none" w:color="auto" w:sz="0" w:space="0"/>
              </w:rPr>
              <w:t>《运算律》属于数与运算领域。教学中，也要沟通数的概念与数的运算之间的关联，突出“数”与“运算”的一致性。事实上，整数、分数、小数本质上是一个整体：从数形成与发展的角度而言，整数除法运算出现不够除的情形，产生了分数，分数运算不方便，产生了小数；从数组成的角度而言，整数、分数、小数均是基于“计数单位”建构的。加减乘除本质上也是一个整体：从运算意义的角度而言，所有运算都可以还原成加法，加法是所有运算的基础；从运算算理的角度而言，分配律、交换律、结合律与等式的基本性质是所有算理的基础；从运算算法的角度而言，所有运算都可以还原成计数单位与计数单位运算（个别运算，计数单位不参与运算）、计数单位上的数字（本质上是计数单位的个数）与计数单位上的数字运算，加法口诀、乘法口诀是所有算法的基础。何以实现数的概念与运算的一致性（一）数的概念的一致性：计数单位是建构数的基础（二）运算意义的一致性：加法是运算意义的基础（三）运算算理、算法的一致性：计数单位、运算律与等式的基本性质是算理、算法的基础。</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宋体" w:hAnsi="宋体" w:eastAsia="宋体" w:cs="宋体"/>
                <w:color w:val="auto"/>
                <w:sz w:val="24"/>
                <w:szCs w:val="24"/>
                <w:bdr w:val="none" w:color="auto" w:sz="0" w:space="0"/>
                <w:lang w:val="en-US" w:eastAsia="zh-CN"/>
              </w:rPr>
            </w:pPr>
            <w:r>
              <w:rPr>
                <w:rFonts w:hint="eastAsia" w:ascii="宋体" w:hAnsi="宋体" w:eastAsia="宋体" w:cs="宋体"/>
                <w:color w:val="auto"/>
                <w:sz w:val="24"/>
                <w:szCs w:val="24"/>
                <w:bdr w:val="none" w:color="auto" w:sz="0" w:space="0"/>
                <w:lang w:val="en-US" w:eastAsia="zh-CN"/>
              </w:rPr>
              <w:t>批判性分析</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60" w:leftChars="0" w:right="0" w:rightChars="0"/>
              <w:rPr>
                <w:rFonts w:hint="default" w:ascii="宋体" w:hAnsi="宋体" w:eastAsia="宋体" w:cs="宋体"/>
                <w:color w:val="auto"/>
                <w:sz w:val="24"/>
                <w:szCs w:val="24"/>
                <w:bdr w:val="none" w:color="auto" w:sz="0" w:space="0"/>
                <w:lang w:val="en-US" w:eastAsia="zh-CN"/>
              </w:rPr>
            </w:pPr>
            <w:r>
              <w:rPr>
                <w:rFonts w:hint="eastAsia" w:ascii="宋体" w:hAnsi="宋体" w:eastAsia="宋体" w:cs="宋体"/>
                <w:color w:val="auto"/>
                <w:sz w:val="24"/>
                <w:szCs w:val="24"/>
                <w:bdr w:val="none" w:color="auto" w:sz="0" w:space="0"/>
                <w:lang w:val="en-US" w:eastAsia="zh-CN"/>
              </w:rPr>
              <w:t>陈：</w:t>
            </w:r>
            <w:r>
              <w:rPr>
                <w:rFonts w:hint="default" w:ascii="宋体" w:hAnsi="宋体" w:eastAsia="宋体" w:cs="宋体"/>
                <w:color w:val="auto"/>
                <w:sz w:val="24"/>
                <w:szCs w:val="24"/>
                <w:bdr w:val="none" w:color="auto" w:sz="0" w:space="0"/>
                <w:lang w:val="en-US" w:eastAsia="zh-CN"/>
              </w:rPr>
              <w:t>该单元通过集中编排的方式，让学生在一个连贯的学习过程中</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color w:val="auto"/>
                <w:sz w:val="24"/>
                <w:szCs w:val="24"/>
                <w:bdr w:val="none" w:color="auto" w:sz="0" w:space="0"/>
                <w:lang w:val="en-US" w:eastAsia="zh-CN"/>
              </w:rPr>
            </w:pPr>
            <w:r>
              <w:rPr>
                <w:rFonts w:hint="default" w:ascii="宋体" w:hAnsi="宋体" w:eastAsia="宋体" w:cs="宋体"/>
                <w:color w:val="auto"/>
                <w:sz w:val="24"/>
                <w:szCs w:val="24"/>
                <w:bdr w:val="none" w:color="auto" w:sz="0" w:space="0"/>
                <w:lang w:val="en-US" w:eastAsia="zh-CN"/>
              </w:rPr>
              <w:t>探索理解加法交换律、加法结合律，以及乘法交换律、乘法结合律和乘法分配律。这种编排有利于学生在短时间内集中学习和掌握一系列相关的数学定律，促进了学生对运算定律之间内在联系的理解。然而，这种密集的知识点编排也可能导致学生在理解和应用上的困难，尤其是当学生尝试将这些定律应用于具体的数学问题时。</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60" w:leftChars="0" w:right="0" w:rightChars="0"/>
              <w:rPr>
                <w:rFonts w:hint="default" w:ascii="宋体" w:hAnsi="宋体" w:eastAsia="宋体" w:cs="宋体"/>
                <w:color w:val="auto"/>
                <w:sz w:val="24"/>
                <w:szCs w:val="24"/>
                <w:bdr w:val="none" w:color="auto" w:sz="0" w:space="0"/>
                <w:lang w:val="en-US" w:eastAsia="zh-CN"/>
              </w:rPr>
            </w:pPr>
            <w:r>
              <w:rPr>
                <w:rFonts w:hint="eastAsia" w:ascii="宋体" w:hAnsi="宋体" w:eastAsia="宋体" w:cs="宋体"/>
                <w:color w:val="auto"/>
                <w:sz w:val="24"/>
                <w:szCs w:val="24"/>
                <w:bdr w:val="none" w:color="auto" w:sz="0" w:space="0"/>
                <w:lang w:val="en-US" w:eastAsia="zh-CN"/>
              </w:rPr>
              <w:t>孙：</w:t>
            </w:r>
            <w:r>
              <w:rPr>
                <w:rFonts w:hint="default" w:ascii="宋体" w:hAnsi="宋体" w:eastAsia="宋体" w:cs="宋体"/>
                <w:color w:val="auto"/>
                <w:sz w:val="24"/>
                <w:szCs w:val="24"/>
                <w:bdr w:val="none" w:color="auto" w:sz="0" w:space="0"/>
                <w:lang w:val="en-US" w:eastAsia="zh-CN"/>
              </w:rPr>
              <w:t>教材将减法中的“连减性质”和除法中的“连除性质”穿插</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color w:val="auto"/>
                <w:sz w:val="24"/>
                <w:szCs w:val="24"/>
                <w:bdr w:val="none" w:color="auto" w:sz="0" w:space="0"/>
                <w:lang w:val="en-US" w:eastAsia="zh-CN"/>
              </w:rPr>
            </w:pPr>
            <w:r>
              <w:rPr>
                <w:rFonts w:hint="default" w:ascii="宋体" w:hAnsi="宋体" w:eastAsia="宋体" w:cs="宋体"/>
                <w:color w:val="auto"/>
                <w:sz w:val="24"/>
                <w:szCs w:val="24"/>
                <w:bdr w:val="none" w:color="auto" w:sz="0" w:space="0"/>
                <w:lang w:val="en-US" w:eastAsia="zh-CN"/>
              </w:rPr>
              <w:t>在加法和乘法运算定律之间，意图是通过比较和对比不同运算之间的相似性和差异性来加深学生的理解。然而，这种编排方式可能不完全符合学生的认知发展顺序，尤其是对于那些数学基础相对薄弱的学生来说，他们可能会在不同运算定律之间感到混淆。</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60" w:leftChars="0" w:right="0" w:rightChars="0"/>
              <w:rPr>
                <w:rFonts w:hint="default" w:ascii="宋体" w:hAnsi="宋体" w:eastAsia="宋体" w:cs="宋体"/>
                <w:color w:val="auto"/>
                <w:sz w:val="24"/>
                <w:szCs w:val="24"/>
                <w:bdr w:val="none" w:color="auto" w:sz="0" w:space="0"/>
                <w:lang w:val="en-US" w:eastAsia="zh-CN"/>
              </w:rPr>
            </w:pPr>
            <w:r>
              <w:rPr>
                <w:rFonts w:hint="eastAsia" w:ascii="宋体" w:hAnsi="宋体" w:eastAsia="宋体" w:cs="宋体"/>
                <w:color w:val="auto"/>
                <w:sz w:val="24"/>
                <w:szCs w:val="24"/>
                <w:bdr w:val="none" w:color="auto" w:sz="0" w:space="0"/>
                <w:lang w:val="en-US" w:eastAsia="zh-CN"/>
              </w:rPr>
              <w:t>叶：</w:t>
            </w:r>
            <w:r>
              <w:rPr>
                <w:rFonts w:hint="default" w:ascii="宋体" w:hAnsi="宋体" w:eastAsia="宋体" w:cs="宋体"/>
                <w:color w:val="auto"/>
                <w:sz w:val="24"/>
                <w:szCs w:val="24"/>
                <w:bdr w:val="none" w:color="auto" w:sz="0" w:space="0"/>
                <w:lang w:val="en-US" w:eastAsia="zh-CN"/>
              </w:rPr>
              <w:t>教材在介绍乘法结合律和分配律时，材料的相似性和表达形式</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color w:val="auto"/>
                <w:sz w:val="24"/>
                <w:szCs w:val="24"/>
                <w:bdr w:val="none" w:color="auto" w:sz="0" w:space="0"/>
                <w:lang w:val="en-US" w:eastAsia="zh-CN"/>
              </w:rPr>
            </w:pPr>
            <w:r>
              <w:rPr>
                <w:rFonts w:hint="default" w:ascii="宋体" w:hAnsi="宋体" w:eastAsia="宋体" w:cs="宋体"/>
                <w:color w:val="auto"/>
                <w:sz w:val="24"/>
                <w:szCs w:val="24"/>
                <w:bdr w:val="none" w:color="auto" w:sz="0" w:space="0"/>
                <w:lang w:val="en-US" w:eastAsia="zh-CN"/>
              </w:rPr>
              <w:t>的相似可能导致学生混淆。尽管教材试图通过问题情境引入和引导学生发现不同解法之间的关系，这种探索式学习策略有助于学生归纳和总结规律，但教材在提供直观支持方面显得不足。前置性教学中虽然使用了线段图、点子图和面积图等直观材料帮助学生感受运算定律，但在本单元的具体编排中，这种“形”的直观呈现几乎缺失，可能会影响学生对运算定律深层理解和应用的能力。</w:t>
            </w:r>
          </w:p>
          <w:p>
            <w:pPr>
              <w:rPr>
                <w:rFonts w:hint="default" w:ascii="宋体" w:hAnsi="宋体" w:eastAsia="宋体" w:cs="宋体"/>
                <w:color w:val="000000"/>
                <w:sz w:val="22"/>
                <w:szCs w:val="22"/>
                <w:lang w:val="en-US" w:eastAsia="zh-CN" w:bidi="zh-TW"/>
              </w:rPr>
            </w:pPr>
            <w:bookmarkStart w:id="0" w:name="_GoBack"/>
            <w:r>
              <w:rPr>
                <w:rFonts w:hint="default" w:ascii="宋体" w:hAnsi="宋体" w:eastAsia="宋体" w:cs="宋体"/>
                <w:color w:val="000000"/>
                <w:sz w:val="22"/>
                <w:szCs w:val="22"/>
                <w:lang w:val="en-US" w:eastAsia="zh-CN" w:bidi="zh-TW"/>
              </w:rPr>
              <w:drawing>
                <wp:inline distT="0" distB="0" distL="114300" distR="114300">
                  <wp:extent cx="4740275" cy="3555365"/>
                  <wp:effectExtent l="0" t="0" r="9525" b="635"/>
                  <wp:docPr id="7" name="图片 7" descr="36aa97d14c689237ee6e5fe9f9306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6aa97d14c689237ee6e5fe9f9306ac"/>
                          <pic:cNvPicPr>
                            <a:picLocks noChangeAspect="1"/>
                          </pic:cNvPicPr>
                        </pic:nvPicPr>
                        <pic:blipFill>
                          <a:blip r:embed="rId7"/>
                          <a:stretch>
                            <a:fillRect/>
                          </a:stretch>
                        </pic:blipFill>
                        <pic:spPr>
                          <a:xfrm>
                            <a:off x="0" y="0"/>
                            <a:ext cx="4740275" cy="3555365"/>
                          </a:xfrm>
                          <a:prstGeom prst="rect">
                            <a:avLst/>
                          </a:prstGeom>
                        </pic:spPr>
                      </pic:pic>
                    </a:graphicData>
                  </a:graphic>
                </wp:inline>
              </w:drawing>
            </w:r>
            <w:bookmarkEnd w:id="0"/>
          </w:p>
        </w:tc>
      </w:tr>
    </w:tbl>
    <w:p>
      <w:pPr>
        <w:jc w:val="both"/>
        <w:rPr>
          <w:rFonts w:hint="eastAsia"/>
          <w:sz w:val="24"/>
          <w:szCs w:val="24"/>
          <w:lang w:val="en-US" w:eastAsia="zh-CN"/>
        </w:rPr>
      </w:pPr>
      <w:r>
        <w:rPr>
          <w:rFonts w:hint="eastAsia"/>
          <w:sz w:val="28"/>
          <w:szCs w:val="28"/>
          <w:vertAlign w:val="baseline"/>
          <w:lang w:val="en-US" w:eastAsia="zh-CN"/>
        </w:rPr>
        <w:t>备注：每次活动结束后，教研组长、备课组长及时收齐所有资料。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0B465"/>
    <w:multiLevelType w:val="singleLevel"/>
    <w:tmpl w:val="DF30B4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705C48AE"/>
    <w:rsid w:val="00AD558A"/>
    <w:rsid w:val="01011432"/>
    <w:rsid w:val="010F3B4F"/>
    <w:rsid w:val="031F47AC"/>
    <w:rsid w:val="04012087"/>
    <w:rsid w:val="062E4A77"/>
    <w:rsid w:val="06A74E1D"/>
    <w:rsid w:val="080551DF"/>
    <w:rsid w:val="08873350"/>
    <w:rsid w:val="08C01BD2"/>
    <w:rsid w:val="0AD605AC"/>
    <w:rsid w:val="0B57681E"/>
    <w:rsid w:val="0CAF4438"/>
    <w:rsid w:val="0DAD0977"/>
    <w:rsid w:val="0DBE3ECE"/>
    <w:rsid w:val="0E0B7D94"/>
    <w:rsid w:val="0E1053AA"/>
    <w:rsid w:val="0EDE2DB2"/>
    <w:rsid w:val="0F0C791F"/>
    <w:rsid w:val="0F205179"/>
    <w:rsid w:val="0FAC2EB1"/>
    <w:rsid w:val="105C6685"/>
    <w:rsid w:val="10615A49"/>
    <w:rsid w:val="11BF336F"/>
    <w:rsid w:val="14BB6070"/>
    <w:rsid w:val="170E6C90"/>
    <w:rsid w:val="17E01949"/>
    <w:rsid w:val="193E726F"/>
    <w:rsid w:val="1A361CF4"/>
    <w:rsid w:val="1A742769"/>
    <w:rsid w:val="1AB570BD"/>
    <w:rsid w:val="1ADB29A0"/>
    <w:rsid w:val="1D3544E5"/>
    <w:rsid w:val="1D3D339A"/>
    <w:rsid w:val="1E62130A"/>
    <w:rsid w:val="1EFF124F"/>
    <w:rsid w:val="201274A6"/>
    <w:rsid w:val="21986141"/>
    <w:rsid w:val="21F342EC"/>
    <w:rsid w:val="21FC3824"/>
    <w:rsid w:val="221A7A47"/>
    <w:rsid w:val="22A650E4"/>
    <w:rsid w:val="23F92711"/>
    <w:rsid w:val="265A6D6B"/>
    <w:rsid w:val="28C130D1"/>
    <w:rsid w:val="28C52BC1"/>
    <w:rsid w:val="2A293624"/>
    <w:rsid w:val="2B9D1BD3"/>
    <w:rsid w:val="2D6A7911"/>
    <w:rsid w:val="2FC67770"/>
    <w:rsid w:val="32B048E2"/>
    <w:rsid w:val="343E5792"/>
    <w:rsid w:val="3521422C"/>
    <w:rsid w:val="35366BF5"/>
    <w:rsid w:val="377D0B0B"/>
    <w:rsid w:val="37E56DDC"/>
    <w:rsid w:val="38D1110E"/>
    <w:rsid w:val="38D428CC"/>
    <w:rsid w:val="3B626996"/>
    <w:rsid w:val="3B786E53"/>
    <w:rsid w:val="3C410359"/>
    <w:rsid w:val="3DCC6B90"/>
    <w:rsid w:val="3E2C0E0F"/>
    <w:rsid w:val="40D519B8"/>
    <w:rsid w:val="44D75B31"/>
    <w:rsid w:val="458A4D14"/>
    <w:rsid w:val="468974CC"/>
    <w:rsid w:val="488D1F6A"/>
    <w:rsid w:val="48B16866"/>
    <w:rsid w:val="4A3B6D2F"/>
    <w:rsid w:val="4A62250E"/>
    <w:rsid w:val="4C5C2F8D"/>
    <w:rsid w:val="4D63511D"/>
    <w:rsid w:val="51222256"/>
    <w:rsid w:val="53B81F7B"/>
    <w:rsid w:val="54176117"/>
    <w:rsid w:val="551B53B0"/>
    <w:rsid w:val="55342CF9"/>
    <w:rsid w:val="55B300C2"/>
    <w:rsid w:val="55BB2AD2"/>
    <w:rsid w:val="55DD0C9B"/>
    <w:rsid w:val="57D60097"/>
    <w:rsid w:val="586456A3"/>
    <w:rsid w:val="5B2D6220"/>
    <w:rsid w:val="5C4E40FD"/>
    <w:rsid w:val="5C5D6916"/>
    <w:rsid w:val="5D5757D7"/>
    <w:rsid w:val="5F107184"/>
    <w:rsid w:val="60086E35"/>
    <w:rsid w:val="616208DA"/>
    <w:rsid w:val="636724EC"/>
    <w:rsid w:val="64EE67A6"/>
    <w:rsid w:val="67AA443C"/>
    <w:rsid w:val="6B8005EE"/>
    <w:rsid w:val="6C5645F4"/>
    <w:rsid w:val="6D611D5A"/>
    <w:rsid w:val="6D966B59"/>
    <w:rsid w:val="6E4F6056"/>
    <w:rsid w:val="6F593630"/>
    <w:rsid w:val="700E4171"/>
    <w:rsid w:val="705C48AE"/>
    <w:rsid w:val="70834F1C"/>
    <w:rsid w:val="71B40FF2"/>
    <w:rsid w:val="7292225F"/>
    <w:rsid w:val="72DB18FF"/>
    <w:rsid w:val="735F4F8D"/>
    <w:rsid w:val="73623693"/>
    <w:rsid w:val="76F76C22"/>
    <w:rsid w:val="77CB7519"/>
    <w:rsid w:val="77FE4D75"/>
    <w:rsid w:val="78302D28"/>
    <w:rsid w:val="7BAF5CCC"/>
    <w:rsid w:val="7C7F116C"/>
    <w:rsid w:val="7E52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1077</Words>
  <Characters>1103</Characters>
  <Lines>0</Lines>
  <Paragraphs>0</Paragraphs>
  <TotalTime>20</TotalTime>
  <ScaleCrop>false</ScaleCrop>
  <LinksUpToDate>false</LinksUpToDate>
  <CharactersWithSpaces>1122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叶子</cp:lastModifiedBy>
  <cp:lastPrinted>2019-08-30T07:18:00Z</cp:lastPrinted>
  <dcterms:modified xsi:type="dcterms:W3CDTF">2024-05-30T06:27:39Z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E4FE95804C3F424EA207C4173C324212_13</vt:lpwstr>
  </property>
</Properties>
</file>