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vertAlign w:val="baseline"/>
          <w:lang w:val="en-US" w:eastAsia="zh-CN"/>
        </w:rPr>
      </w:pPr>
      <w:r>
        <w:rPr>
          <w:rFonts w:hint="eastAsia"/>
          <w:b/>
          <w:bCs/>
          <w:sz w:val="44"/>
          <w:szCs w:val="44"/>
          <w:vertAlign w:val="baseline"/>
          <w:lang w:val="en-US" w:eastAsia="zh-CN"/>
        </w:rPr>
        <w:t>芙蓉小学2023-2024学年第二学期</w:t>
      </w:r>
    </w:p>
    <w:p>
      <w:pPr>
        <w:jc w:val="center"/>
        <w:rPr>
          <w:rFonts w:hint="default"/>
          <w:b/>
          <w:bCs/>
          <w:sz w:val="36"/>
          <w:szCs w:val="36"/>
          <w:vertAlign w:val="baseline"/>
          <w:lang w:val="en-US" w:eastAsia="zh-CN"/>
        </w:rPr>
      </w:pPr>
      <w:r>
        <w:rPr>
          <w:rFonts w:hint="eastAsia"/>
          <w:b/>
          <w:bCs/>
          <w:sz w:val="36"/>
          <w:szCs w:val="36"/>
          <w:u w:val="single"/>
          <w:vertAlign w:val="baseline"/>
          <w:lang w:val="en-US" w:eastAsia="zh-CN"/>
        </w:rPr>
        <w:t>四年级数学备课组</w:t>
      </w:r>
      <w:r>
        <w:rPr>
          <w:rFonts w:hint="eastAsia"/>
          <w:b/>
          <w:bCs/>
          <w:sz w:val="36"/>
          <w:szCs w:val="36"/>
          <w:vertAlign w:val="baseline"/>
          <w:lang w:val="en-US" w:eastAsia="zh-CN"/>
        </w:rPr>
        <w:t>活动签到表 （第 7 次活动）</w:t>
      </w:r>
    </w:p>
    <w:tbl>
      <w:tblPr>
        <w:tblStyle w:val="4"/>
        <w:tblpPr w:leftFromText="180" w:rightFromText="180" w:vertAnchor="text" w:horzAnchor="page" w:tblpX="1838"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09"/>
        <w:gridCol w:w="401"/>
        <w:gridCol w:w="2410"/>
        <w:gridCol w:w="422"/>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主题</w:t>
            </w:r>
          </w:p>
        </w:tc>
        <w:tc>
          <w:tcPr>
            <w:tcW w:w="7232" w:type="dxa"/>
            <w:gridSpan w:val="5"/>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模型意识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2410" w:type="dxa"/>
            <w:gridSpan w:val="2"/>
            <w:vAlign w:val="center"/>
          </w:tcPr>
          <w:p>
            <w:pPr>
              <w:jc w:val="center"/>
              <w:rPr>
                <w:rFonts w:hint="eastAsia"/>
                <w:sz w:val="24"/>
                <w:szCs w:val="24"/>
                <w:vertAlign w:val="baseline"/>
                <w:lang w:val="en-US" w:eastAsia="zh-CN"/>
              </w:rPr>
            </w:pPr>
            <w:r>
              <w:rPr>
                <w:rFonts w:hint="eastAsia"/>
                <w:sz w:val="24"/>
                <w:szCs w:val="24"/>
                <w:vertAlign w:val="baseline"/>
                <w:lang w:val="en-US" w:eastAsia="zh-CN"/>
              </w:rPr>
              <w:t>解决问题的策略</w:t>
            </w:r>
          </w:p>
          <w:p>
            <w:pPr>
              <w:jc w:val="center"/>
              <w:rPr>
                <w:rFonts w:hint="default" w:eastAsiaTheme="minorEastAsia"/>
                <w:sz w:val="24"/>
                <w:szCs w:val="24"/>
                <w:vertAlign w:val="baseline"/>
                <w:lang w:val="en-US" w:eastAsia="zh-CN"/>
              </w:rPr>
            </w:pPr>
            <w:r>
              <w:rPr>
                <w:rFonts w:hint="eastAsia"/>
                <w:sz w:val="24"/>
                <w:szCs w:val="24"/>
                <w:vertAlign w:val="baseline"/>
                <w:lang w:val="en-US" w:eastAsia="zh-CN"/>
              </w:rPr>
              <w:t>——画图</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主讲人</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时间</w:t>
            </w:r>
          </w:p>
        </w:tc>
        <w:tc>
          <w:tcPr>
            <w:tcW w:w="2410"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2024.4.3</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地点</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序号</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姓名</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到场签名</w:t>
            </w:r>
          </w:p>
        </w:tc>
        <w:tc>
          <w:tcPr>
            <w:tcW w:w="19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1</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859155" cy="360045"/>
                  <wp:effectExtent l="0" t="0" r="0" b="0"/>
                  <wp:docPr id="3" name="图片 3" descr="3d6595941af8db36296b7b19a4b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6595941af8db36296b7b19a4be39d"/>
                          <pic:cNvPicPr>
                            <a:picLocks noChangeAspect="1"/>
                          </pic:cNvPicPr>
                        </pic:nvPicPr>
                        <pic:blipFill>
                          <a:blip r:embed="rId4">
                            <a:clrChange>
                              <a:clrFrom>
                                <a:srgbClr val="FFFFFF">
                                  <a:alpha val="100000"/>
                                </a:srgbClr>
                              </a:clrFrom>
                              <a:clrTo>
                                <a:srgbClr val="FFFFFF">
                                  <a:alpha val="100000"/>
                                  <a:alpha val="0"/>
                                </a:srgbClr>
                              </a:clrTo>
                            </a:clrChange>
                          </a:blip>
                          <a:srcRect l="23023" t="52357" r="27309" b="32084"/>
                          <a:stretch>
                            <a:fillRect/>
                          </a:stretch>
                        </pic:blipFill>
                        <pic:spPr>
                          <a:xfrm>
                            <a:off x="0" y="0"/>
                            <a:ext cx="859155" cy="36004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2</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drawing>
                <wp:anchor distT="0" distB="0" distL="114300" distR="114300" simplePos="0" relativeHeight="251659264" behindDoc="0" locked="0" layoutInCell="1" allowOverlap="1">
                  <wp:simplePos x="0" y="0"/>
                  <wp:positionH relativeFrom="column">
                    <wp:posOffset>526415</wp:posOffset>
                  </wp:positionH>
                  <wp:positionV relativeFrom="paragraph">
                    <wp:posOffset>98425</wp:posOffset>
                  </wp:positionV>
                  <wp:extent cx="815340" cy="394970"/>
                  <wp:effectExtent l="0" t="0" r="0" b="11430"/>
                  <wp:wrapSquare wrapText="bothSides"/>
                  <wp:docPr id="2" name="图片 2" descr="c3462798c34c6e0b78a3b7b6ed1d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62798c34c6e0b78a3b7b6ed1deb6"/>
                          <pic:cNvPicPr>
                            <a:picLocks noChangeAspect="1"/>
                          </pic:cNvPicPr>
                        </pic:nvPicPr>
                        <pic:blipFill>
                          <a:blip r:embed="rId5">
                            <a:clrChange>
                              <a:clrFrom>
                                <a:srgbClr val="FFFFFF">
                                  <a:alpha val="100000"/>
                                </a:srgbClr>
                              </a:clrFrom>
                              <a:clrTo>
                                <a:srgbClr val="FFFFFF">
                                  <a:alpha val="100000"/>
                                  <a:alpha val="0"/>
                                </a:srgbClr>
                              </a:clrTo>
                            </a:clrChange>
                          </a:blip>
                          <a:srcRect l="32422" t="32507" r="38799" b="42745"/>
                          <a:stretch>
                            <a:fillRect/>
                          </a:stretch>
                        </pic:blipFill>
                        <pic:spPr>
                          <a:xfrm>
                            <a:off x="0" y="0"/>
                            <a:ext cx="815340" cy="394970"/>
                          </a:xfrm>
                          <a:prstGeom prst="rect">
                            <a:avLst/>
                          </a:prstGeom>
                        </pic:spPr>
                      </pic:pic>
                    </a:graphicData>
                  </a:graphic>
                </wp:anchor>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3</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陈艳</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788670" cy="399415"/>
                  <wp:effectExtent l="0" t="0" r="0" b="0"/>
                  <wp:docPr id="4" name="图片 4" descr="7ceceee3948096cab5a1802dd36f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eceee3948096cab5a1802dd36fc35"/>
                          <pic:cNvPicPr>
                            <a:picLocks noChangeAspect="1"/>
                          </pic:cNvPicPr>
                        </pic:nvPicPr>
                        <pic:blipFill>
                          <a:blip r:embed="rId6">
                            <a:clrChange>
                              <a:clrFrom>
                                <a:srgbClr val="FFFFFF">
                                  <a:alpha val="100000"/>
                                </a:srgbClr>
                              </a:clrFrom>
                              <a:clrTo>
                                <a:srgbClr val="FFFFFF">
                                  <a:alpha val="100000"/>
                                  <a:alpha val="0"/>
                                </a:srgbClr>
                              </a:clrTo>
                            </a:clrChange>
                          </a:blip>
                          <a:srcRect l="18624" t="33532" r="41107" b="30253"/>
                          <a:stretch>
                            <a:fillRect/>
                          </a:stretch>
                        </pic:blipFill>
                        <pic:spPr>
                          <a:xfrm>
                            <a:off x="0" y="0"/>
                            <a:ext cx="788670" cy="39941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4</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5</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6</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7</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8</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9</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10</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11</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bl>
    <w:p>
      <w:pPr>
        <w:jc w:val="both"/>
        <w:rPr>
          <w:rFonts w:hint="eastAsia"/>
          <w:sz w:val="28"/>
          <w:szCs w:val="28"/>
          <w:lang w:val="en-US" w:eastAsia="zh-CN"/>
        </w:rPr>
      </w:pPr>
      <w:r>
        <w:rPr>
          <w:rFonts w:hint="eastAsia"/>
          <w:sz w:val="28"/>
          <w:szCs w:val="28"/>
          <w:vertAlign w:val="baseline"/>
          <w:lang w:val="en-US" w:eastAsia="zh-CN"/>
        </w:rPr>
        <w:t>备注：每次活动结束后，教研组长、备课组长及时收齐所有资料。</w:t>
      </w:r>
      <w:r>
        <w:rPr>
          <w:rFonts w:hint="eastAsia"/>
          <w:sz w:val="28"/>
          <w:szCs w:val="28"/>
          <w:lang w:val="en-US" w:eastAsia="zh-CN"/>
        </w:rPr>
        <w:br w:type="page"/>
      </w:r>
    </w:p>
    <w:p>
      <w:pPr>
        <w:jc w:val="center"/>
        <w:rPr>
          <w:rFonts w:hint="eastAsia"/>
          <w:sz w:val="28"/>
          <w:szCs w:val="28"/>
          <w:lang w:val="en-US" w:eastAsia="zh-CN"/>
        </w:rPr>
      </w:pPr>
      <w:r>
        <w:rPr>
          <w:rFonts w:hint="eastAsia"/>
          <w:sz w:val="28"/>
          <w:szCs w:val="28"/>
          <w:lang w:val="en-US" w:eastAsia="zh-CN"/>
        </w:rPr>
        <w:t>四年级数学备课组活动记录</w:t>
      </w:r>
    </w:p>
    <w:tbl>
      <w:tblPr>
        <w:tblStyle w:val="4"/>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    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以学为中心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内    容</w:t>
            </w:r>
          </w:p>
        </w:tc>
        <w:tc>
          <w:tcPr>
            <w:tcW w:w="2565"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解决问题的策略</w:t>
            </w:r>
          </w:p>
          <w:p>
            <w:pPr>
              <w:jc w:val="center"/>
              <w:rPr>
                <w:rFonts w:hint="default"/>
                <w:sz w:val="24"/>
                <w:szCs w:val="24"/>
                <w:vertAlign w:val="baseline"/>
                <w:lang w:val="en-US" w:eastAsia="zh-CN"/>
              </w:rPr>
            </w:pPr>
            <w:r>
              <w:rPr>
                <w:rFonts w:hint="eastAsia"/>
                <w:sz w:val="24"/>
                <w:szCs w:val="24"/>
                <w:vertAlign w:val="baseline"/>
                <w:lang w:val="en-US" w:eastAsia="zh-CN"/>
              </w:rPr>
              <w:t>——画图</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主讲人</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叶婷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2024.4.3</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地  点</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参</w:t>
            </w:r>
          </w:p>
          <w:p>
            <w:pPr>
              <w:jc w:val="center"/>
              <w:rPr>
                <w:rFonts w:hint="eastAsia"/>
                <w:sz w:val="24"/>
                <w:szCs w:val="24"/>
                <w:vertAlign w:val="baseline"/>
                <w:lang w:val="en-US" w:eastAsia="zh-CN"/>
              </w:rPr>
            </w:pPr>
            <w:r>
              <w:rPr>
                <w:rFonts w:hint="eastAsia"/>
                <w:sz w:val="24"/>
                <w:szCs w:val="24"/>
                <w:vertAlign w:val="baseline"/>
                <w:lang w:val="en-US" w:eastAsia="zh-CN"/>
              </w:rPr>
              <w:t>加</w:t>
            </w:r>
          </w:p>
          <w:p>
            <w:pPr>
              <w:jc w:val="center"/>
              <w:rPr>
                <w:rFonts w:hint="eastAsia"/>
                <w:sz w:val="24"/>
                <w:szCs w:val="24"/>
                <w:vertAlign w:val="baseline"/>
                <w:lang w:val="en-US" w:eastAsia="zh-CN"/>
              </w:rPr>
            </w:pPr>
            <w:r>
              <w:rPr>
                <w:rFonts w:hint="eastAsia"/>
                <w:sz w:val="24"/>
                <w:szCs w:val="24"/>
                <w:vertAlign w:val="baseline"/>
                <w:lang w:val="en-US" w:eastAsia="zh-CN"/>
              </w:rPr>
              <w:t>人</w:t>
            </w:r>
          </w:p>
          <w:p>
            <w:pPr>
              <w:jc w:val="center"/>
              <w:rPr>
                <w:rFonts w:hint="eastAsia"/>
                <w:sz w:val="24"/>
                <w:szCs w:val="24"/>
                <w:vertAlign w:val="baseline"/>
                <w:lang w:val="en-US" w:eastAsia="zh-CN"/>
              </w:rPr>
            </w:pPr>
            <w:r>
              <w:rPr>
                <w:rFonts w:hint="eastAsia"/>
                <w:sz w:val="24"/>
                <w:szCs w:val="24"/>
                <w:vertAlign w:val="baseline"/>
                <w:lang w:val="en-US" w:eastAsia="zh-CN"/>
              </w:rPr>
              <w:t>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陈艳、叶婷、孙小婷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活</w:t>
            </w:r>
          </w:p>
          <w:p>
            <w:pPr>
              <w:jc w:val="center"/>
              <w:rPr>
                <w:rFonts w:hint="eastAsia"/>
                <w:sz w:val="24"/>
                <w:szCs w:val="24"/>
                <w:vertAlign w:val="baseline"/>
                <w:lang w:val="en-US" w:eastAsia="zh-CN"/>
              </w:rPr>
            </w:pPr>
            <w:r>
              <w:rPr>
                <w:rFonts w:hint="eastAsia"/>
                <w:sz w:val="24"/>
                <w:szCs w:val="24"/>
                <w:vertAlign w:val="baseline"/>
                <w:lang w:val="en-US" w:eastAsia="zh-CN"/>
              </w:rPr>
              <w:t>动</w:t>
            </w:r>
          </w:p>
          <w:p>
            <w:pPr>
              <w:jc w:val="center"/>
              <w:rPr>
                <w:rFonts w:hint="eastAsia"/>
                <w:sz w:val="24"/>
                <w:szCs w:val="24"/>
                <w:vertAlign w:val="baseline"/>
                <w:lang w:val="en-US" w:eastAsia="zh-CN"/>
              </w:rPr>
            </w:pPr>
            <w:r>
              <w:rPr>
                <w:rFonts w:hint="eastAsia"/>
                <w:sz w:val="24"/>
                <w:szCs w:val="24"/>
                <w:vertAlign w:val="baseline"/>
                <w:lang w:val="en-US" w:eastAsia="zh-CN"/>
              </w:rPr>
              <w:t>过</w:t>
            </w:r>
          </w:p>
          <w:p>
            <w:pPr>
              <w:jc w:val="center"/>
              <w:rPr>
                <w:rFonts w:hint="eastAsia"/>
                <w:sz w:val="24"/>
                <w:szCs w:val="24"/>
                <w:vertAlign w:val="baseline"/>
                <w:lang w:val="en-US" w:eastAsia="zh-CN"/>
              </w:rPr>
            </w:pPr>
            <w:r>
              <w:rPr>
                <w:rFonts w:hint="eastAsia"/>
                <w:sz w:val="24"/>
                <w:szCs w:val="24"/>
                <w:vertAlign w:val="baseline"/>
                <w:lang w:val="en-US" w:eastAsia="zh-CN"/>
              </w:rPr>
              <w:t>程</w:t>
            </w:r>
          </w:p>
        </w:tc>
        <w:tc>
          <w:tcPr>
            <w:tcW w:w="7696" w:type="dxa"/>
            <w:gridSpan w:val="3"/>
            <w:vAlign w:val="center"/>
          </w:tcPr>
          <w:p>
            <w:pPr>
              <w:numPr>
                <w:ilvl w:val="0"/>
                <w:numId w:val="0"/>
              </w:numPr>
              <w:jc w:val="both"/>
              <w:rPr>
                <w:rFonts w:ascii="宋体" w:hAnsi="宋体" w:eastAsia="宋体" w:cs="宋体"/>
                <w:sz w:val="24"/>
                <w:szCs w:val="24"/>
                <w:bdr w:val="none" w:color="auto" w:sz="0" w:space="0"/>
              </w:rPr>
            </w:pPr>
            <w:r>
              <w:rPr>
                <w:rFonts w:hint="eastAsia" w:ascii="宋体" w:hAnsi="宋体" w:eastAsia="宋体" w:cs="宋体"/>
                <w:color w:val="000000"/>
                <w:sz w:val="22"/>
                <w:szCs w:val="22"/>
                <w:lang w:val="en-US" w:eastAsia="zh-CN" w:bidi="zh-TW"/>
              </w:rPr>
              <w:t xml:space="preserve">   </w:t>
            </w:r>
            <w:r>
              <w:rPr>
                <w:rFonts w:ascii="宋体" w:hAnsi="宋体" w:eastAsia="宋体" w:cs="宋体"/>
                <w:sz w:val="24"/>
                <w:szCs w:val="24"/>
              </w:rPr>
              <w:t>《课程标准（2011 年版）》指出：“有效的教学活动是学生学和教师教的统一，学生是学习的主体，教师是学习的组织者、引导者和合作者。”但在实际教学中,有些教师在不知不觉中就会“包办”课堂，不能留给学生充足的思考空间，导致学生的课堂学习效果大打折扣。几年前，曾经执教苏教版教材四年级下册“解决问题的策略（画图）”这节课。随着时间流逝，相关的教学理念不断更新，对“学为中心，让学习真实发生”有了一些新的认识，于是重新构思了这节课。</w:t>
            </w:r>
          </w:p>
          <w:p>
            <w:pPr>
              <w:numPr>
                <w:ilvl w:val="0"/>
                <w:numId w:val="0"/>
              </w:numPr>
              <w:ind w:firstLine="482" w:firstLineChars="200"/>
              <w:jc w:val="both"/>
              <w:rPr>
                <w:rFonts w:hint="default" w:ascii="宋体" w:hAnsi="宋体" w:eastAsia="宋体" w:cs="宋体"/>
                <w:b/>
                <w:bCs/>
                <w:sz w:val="24"/>
                <w:szCs w:val="24"/>
                <w:bdr w:val="none" w:color="auto" w:sz="0" w:space="0"/>
                <w:lang w:val="en-US" w:eastAsia="zh-CN"/>
              </w:rPr>
            </w:pPr>
            <w:r>
              <w:rPr>
                <w:rFonts w:hint="eastAsia" w:ascii="宋体" w:hAnsi="宋体" w:eastAsia="宋体" w:cs="宋体"/>
                <w:b/>
                <w:bCs/>
                <w:sz w:val="24"/>
                <w:szCs w:val="24"/>
                <w:bdr w:val="none" w:color="auto" w:sz="0" w:space="0"/>
                <w:lang w:val="en-US" w:eastAsia="zh-CN"/>
              </w:rPr>
              <w:t>1.科学与技术学得主动：开放思维空间，生成学习需求。</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画线段图的方法是教师直接提出的，并不是学生主动想到的。学生只是按要求完成教师布置的任务。而只有学生主动想到画线段图，才能算真正运用策略解决问题，也才能推动后续的学习。基于上述思考，再次执教时修改了导入环节。</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出示例题。师：你能想到用什么方法去解决呢？</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思考之后，同桌交流一下。</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生：可以列个表，把条件和问题整理一下。师：那你想怎样整理？（学生有些卡壳……）</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生1：这里就两句话，不太好列表。</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生2：从问题出发，要求小春有多少枚，就要知道小宁有多少枚……师：遇到什么问题了？</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生1：这道题要求的就是小春和小宁各有多少枚邮票，要是知道小宁有多少枚邮票，就不用麻烦了。</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生2：可是，这里的两个已知条件究竟有什么关系呢？</w:t>
            </w:r>
          </w:p>
          <w:p>
            <w:pPr>
              <w:numPr>
                <w:ilvl w:val="0"/>
                <w:numId w:val="0"/>
              </w:numPr>
              <w:ind w:firstLine="480" w:firstLineChars="200"/>
              <w:jc w:val="both"/>
              <w:rPr>
                <w:rFonts w:hint="eastAsia" w:ascii="宋体" w:hAnsi="宋体" w:eastAsia="宋体" w:cs="宋体"/>
                <w:sz w:val="24"/>
                <w:szCs w:val="24"/>
                <w:lang w:val="en-US" w:eastAsia="zh-CN"/>
              </w:rPr>
            </w:pPr>
            <w:r>
              <w:rPr>
                <w:rFonts w:ascii="宋体" w:hAnsi="宋体" w:eastAsia="宋体" w:cs="宋体"/>
                <w:sz w:val="24"/>
                <w:szCs w:val="24"/>
              </w:rPr>
              <w:t>生3：我觉得可以画个图试一试。师：是的，你们刚才的发言，已经将题目中的条件和问题都梳理了一遍。刚才有同学提到可以画个图试试。老师觉得这个主意不错，大家愿意试试吗？要解决一个实际问题，往往并不只能运用一种策略。大部分情况下，需要多种策略的综合运用。</w:t>
            </w:r>
            <w:r>
              <w:rPr>
                <w:rFonts w:hint="eastAsia" w:ascii="宋体" w:hAnsi="宋体" w:eastAsia="宋体" w:cs="宋体"/>
                <w:sz w:val="24"/>
                <w:szCs w:val="24"/>
                <w:lang w:val="en-US" w:eastAsia="zh-CN"/>
              </w:rPr>
              <w:t xml:space="preserve">      </w:t>
            </w:r>
          </w:p>
          <w:p>
            <w:pPr>
              <w:numPr>
                <w:ilvl w:val="0"/>
                <w:numId w:val="0"/>
              </w:numPr>
              <w:jc w:val="both"/>
              <w:rPr>
                <w:rFonts w:ascii="宋体" w:hAnsi="宋体" w:eastAsia="宋体" w:cs="宋体"/>
                <w:sz w:val="24"/>
                <w:szCs w:val="24"/>
              </w:rPr>
            </w:pPr>
            <w:r>
              <w:rPr>
                <w:rFonts w:ascii="宋体" w:hAnsi="宋体" w:eastAsia="宋体" w:cs="宋体"/>
                <w:sz w:val="24"/>
                <w:szCs w:val="24"/>
              </w:rPr>
              <w:t>这个问题就不仅需要从条件出发进行分析和思考，而且需要通过画图使数量关系明朗化。</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导入环节并没有明确告诉学生这节课就是学习用画图的策略解决实际问题，而是通过开放式的问题“看完这道题，你能想到用什么方法去解决呢”加以展开。从文字信息中，不太能清楚地理解两人邮票枚数之间的关系。通过上面这样的提问，希望学生能产生“寻求策略”的心理需求，想到用画线段图的方法解决这个问题。一处小小的改动促进了学生主动地学。当学生发现仅通过阅读文字无法明确数量之间的关系时，便会激发用相关策略解决问题的意识，通过比较各种策略又会发现画线段图可能是更合适的策略。开放的问题，让学生在思考中拓展了思维空间，生成了运用策略的需求。</w:t>
            </w:r>
          </w:p>
          <w:p>
            <w:pPr>
              <w:numPr>
                <w:ilvl w:val="0"/>
                <w:numId w:val="0"/>
              </w:numPr>
              <w:ind w:firstLine="482" w:firstLineChars="200"/>
              <w:jc w:val="both"/>
              <w:rPr>
                <w:rFonts w:hint="eastAsia" w:ascii="宋体" w:hAnsi="宋体" w:eastAsia="宋体" w:cs="宋体"/>
                <w:sz w:val="24"/>
                <w:szCs w:val="24"/>
                <w:bdr w:val="none" w:color="auto" w:sz="0" w:space="0"/>
                <w:lang w:val="en-US" w:eastAsia="zh-CN"/>
              </w:rPr>
            </w:pPr>
            <w:r>
              <w:rPr>
                <w:rFonts w:hint="eastAsia" w:ascii="宋体" w:hAnsi="宋体" w:eastAsia="宋体" w:cs="宋体"/>
                <w:b/>
                <w:bCs/>
                <w:sz w:val="24"/>
                <w:szCs w:val="24"/>
                <w:bdr w:val="none" w:color="auto" w:sz="0" w:space="0"/>
                <w:lang w:val="en-US" w:eastAsia="zh-CN"/>
              </w:rPr>
              <w:t>2.学得有序：划定学习任务，提高交流效率。</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学生在学习过程中应当有足够的时间和空间经历观察、实验、猜测、计算、推理、验证等活动过程。小组合作的形式给学生提供了主动学习的舞台。学生也因此有了足够的时间和空间交流自己的想法和做法。而检验小组合作学习是否真实发生</w:t>
            </w:r>
            <w:r>
              <w:rPr>
                <w:rFonts w:hint="eastAsia" w:ascii="宋体" w:hAnsi="宋体" w:eastAsia="宋体" w:cs="宋体"/>
                <w:sz w:val="24"/>
                <w:szCs w:val="24"/>
                <w:lang w:eastAsia="zh-CN"/>
              </w:rPr>
              <w:t>，</w:t>
            </w:r>
            <w:r>
              <w:rPr>
                <w:rFonts w:ascii="宋体" w:hAnsi="宋体" w:eastAsia="宋体" w:cs="宋体"/>
                <w:sz w:val="24"/>
                <w:szCs w:val="24"/>
              </w:rPr>
              <w:t>并不是看学生聚在一起的热闹场面，而是需要基于学习任务加以考察。回想几年前的小组合作学习场面，大体是这样的。学生根据两人邮票枚数之间的关系，已经画出线段图。</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师：怎样才能知道小春和小宁各有多少枚邮票呢？线段图可以怎样调整来帮助我们解题呢？在小组里自由讨论，并把你们的思考过程表示在线段图中。教师巡视、指导。师：老师这里收集了几个小组的作品。请他们上来说一说。</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方法1：72-12=60（枚），60÷2=30（枚）。（假设先去掉小春比小宁多的12 枚邮票，现在两人邮票同样多）</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方法2：72+12=84（枚），84÷2=42（枚）。（假设再给小宁12 枚，两人就会变得一样多）</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方法3：72÷2=36（枚），36+6=42（枚）。（假设小春送给小宁6 枚）</w:t>
            </w:r>
          </w:p>
          <w:p>
            <w:pPr>
              <w:numPr>
                <w:ilvl w:val="0"/>
                <w:numId w:val="0"/>
              </w:numPr>
              <w:ind w:firstLine="480" w:firstLineChars="200"/>
              <w:jc w:val="both"/>
              <w:rPr>
                <w:rFonts w:ascii="宋体" w:hAnsi="宋体" w:eastAsia="宋体" w:cs="宋体"/>
                <w:sz w:val="24"/>
                <w:szCs w:val="24"/>
              </w:rPr>
            </w:pPr>
            <w:r>
              <w:rPr>
                <w:rFonts w:ascii="宋体" w:hAnsi="宋体" w:eastAsia="宋体" w:cs="宋体"/>
                <w:sz w:val="24"/>
                <w:szCs w:val="24"/>
              </w:rPr>
              <w:t>这个环节要求各小组自由讨论，随意发表自己的想法。通过巡视发现，有的小组中某个组员有了思路，其他成员能认真倾听；有的小组成员虽然聚在一起，却各自写各自的想法，缺少交流；还有的小组为先由谁发言而争执不休……在巡视的过程中，教师有目的地收集一些值得分享的作品，等到小组讨论结束后在全班汇报交流。</w:t>
            </w:r>
          </w:p>
          <w:p>
            <w:pPr>
              <w:numPr>
                <w:ilvl w:val="0"/>
                <w:numId w:val="0"/>
              </w:numPr>
              <w:ind w:firstLine="482" w:firstLineChars="200"/>
              <w:jc w:val="both"/>
              <w:rPr>
                <w:rFonts w:hint="eastAsia" w:ascii="宋体" w:hAnsi="宋体" w:eastAsia="宋体" w:cs="宋体"/>
                <w:b/>
                <w:bCs/>
                <w:sz w:val="24"/>
                <w:szCs w:val="24"/>
                <w:bdr w:val="none" w:color="auto" w:sz="0" w:space="0"/>
                <w:lang w:val="en-US" w:eastAsia="zh-CN"/>
              </w:rPr>
            </w:pPr>
            <w:r>
              <w:rPr>
                <w:rFonts w:hint="eastAsia" w:ascii="宋体" w:hAnsi="宋体" w:eastAsia="宋体" w:cs="宋体"/>
                <w:b/>
                <w:bCs/>
                <w:sz w:val="24"/>
                <w:szCs w:val="24"/>
                <w:bdr w:val="none" w:color="auto" w:sz="0" w:space="0"/>
                <w:lang w:val="en-US" w:eastAsia="zh-CN"/>
              </w:rPr>
              <w:t>3.学得深入：对比感知共性，体会策略价值。</w:t>
            </w:r>
          </w:p>
          <w:p>
            <w:pPr>
              <w:numPr>
                <w:ilvl w:val="0"/>
                <w:numId w:val="0"/>
              </w:numPr>
              <w:ind w:firstLine="480" w:firstLineChars="200"/>
              <w:jc w:val="both"/>
              <w:rPr>
                <w:rFonts w:hint="eastAsia" w:ascii="宋体" w:hAnsi="宋体" w:cs="宋体" w:eastAsiaTheme="minorEastAsia"/>
                <w:color w:val="000000"/>
                <w:sz w:val="22"/>
                <w:szCs w:val="22"/>
                <w:lang w:val="en-US" w:eastAsia="zh-CN" w:bidi="zh-TW"/>
              </w:rPr>
            </w:pPr>
            <w:r>
              <w:rPr>
                <w:rFonts w:ascii="宋体" w:hAnsi="宋体" w:eastAsia="宋体" w:cs="宋体"/>
                <w:sz w:val="24"/>
                <w:szCs w:val="24"/>
              </w:rPr>
              <w:t>画图不但可以使题中的数量关系变得清晰明了，还有助于学生感知一类问题的共性,从而更好地体会策略的价值。之前的教学训练单一，就题论题，学生的思维空间不足，没有生成解决该类问题的一般方法。想要让学生练得主动、练得深入，还得需要教师精心设计相关的练习活动。基于以上思考，再次执教新增了两项对比练习。</w:t>
            </w:r>
            <w:r>
              <w:rPr>
                <w:rStyle w:val="6"/>
                <w:rFonts w:ascii="宋体" w:hAnsi="宋体" w:eastAsia="宋体" w:cs="宋体"/>
                <w:sz w:val="24"/>
                <w:szCs w:val="24"/>
                <w:u w:val="single"/>
                <w:bdr w:val="none" w:color="auto" w:sz="0" w:space="0"/>
              </w:rPr>
              <w:t>对比一：出示例题的三种解题方法。</w:t>
            </w:r>
            <w:r>
              <w:rPr>
                <w:rFonts w:ascii="宋体" w:hAnsi="宋体" w:eastAsia="宋体" w:cs="宋体"/>
                <w:sz w:val="24"/>
                <w:szCs w:val="24"/>
              </w:rPr>
              <w:t>师：比较这三种方法，它们有什么相同和不同？生1：它们求出的结果都一样。生2：都是假设两人邮票枚数一样多。生3：方法1 是在总数中去掉12 枚，方法2 是在总数中增加12 枚，方法3 是总数不变。……通过上述练习,学生对例题的三种解题思路进行比较，找到了三种方法的共性，也就是利用假设解决问题；也找到了三种方法的差异，也就是具体的假设方法不一样，从而对解决问题的策略形成了更加深入的体验。</w:t>
            </w:r>
            <w:r>
              <w:rPr>
                <w:rStyle w:val="6"/>
                <w:rFonts w:ascii="宋体" w:hAnsi="宋体" w:eastAsia="宋体" w:cs="宋体"/>
                <w:sz w:val="24"/>
                <w:szCs w:val="24"/>
                <w:u w:val="single"/>
                <w:bdr w:val="none" w:color="auto" w:sz="0" w:space="0"/>
              </w:rPr>
              <w:t>对比二：同屏呈现例题与“练一练”中的线段图。</w:t>
            </w:r>
            <w:r>
              <w:rPr>
                <w:rFonts w:ascii="宋体" w:hAnsi="宋体" w:eastAsia="宋体" w:cs="宋体"/>
                <w:sz w:val="24"/>
                <w:szCs w:val="24"/>
              </w:rPr>
              <w:t>师：比较一下我们刚刚完成的这两道题，你有什么发现？生：线段图的画法不太一样，第一题的第二条线段画了多出的12 枚邮票，第二题的第二条线段用虚线标出了少的15本书。师：尽管画法不同，但它们都表示两个数量——生1：都表示两个数量相差多少。生2：两道题知道的都是两个数量的和以及两个数量的差。师：我们把这样一种知道两个数量的和与差，求两个数量分别是多少的问题叫做“和差问题”。通过上面的活动,学生在比较的过程中发现两道题之间的相同点，认识到“和差问题”的一般结构。由此，他们就能顺利解决一类相似的问题。两次教学的对比,也使笔者认识到：只有跳出习惯的思维，反思自己的教学，才能发现其中存在的问题。不妨设想一下，如果进行前测，发现大多数学生已经掌握解决此类问题的方法，那么相应的课堂教学设计定然又会有所不同。换句话说，所谓的“</w:t>
            </w:r>
            <w:r>
              <w:rPr>
                <w:rStyle w:val="6"/>
                <w:rFonts w:ascii="宋体" w:hAnsi="宋体" w:eastAsia="宋体" w:cs="宋体"/>
                <w:sz w:val="24"/>
                <w:szCs w:val="24"/>
                <w:bdr w:val="none" w:color="auto" w:sz="0" w:space="0"/>
              </w:rPr>
              <w:t>学为中心，让学习真实发生”应该是根据学生的学习现状而采取的动态、灵活的设计；应该是学生学得精彩，学得主动、生动。教师的教，应该服务学生的学，促进学生的学，而不能遮蔽学生的学，替代学生的学。</w:t>
            </w:r>
          </w:p>
          <w:p>
            <w:pPr>
              <w:numPr>
                <w:ilvl w:val="0"/>
                <w:numId w:val="0"/>
              </w:numPr>
              <w:jc w:val="both"/>
              <w:rPr>
                <w:rFonts w:hint="default" w:ascii="宋体" w:hAnsi="宋体" w:eastAsia="宋体" w:cs="宋体"/>
                <w:color w:val="000000"/>
                <w:sz w:val="22"/>
                <w:szCs w:val="22"/>
                <w:lang w:val="en-US" w:eastAsia="zh-CN" w:bidi="zh-TW"/>
              </w:rPr>
            </w:pPr>
            <w:r>
              <w:rPr>
                <w:rFonts w:hint="eastAsia" w:ascii="宋体" w:hAnsi="宋体" w:eastAsia="宋体" w:cs="宋体"/>
                <w:color w:val="000000"/>
                <w:sz w:val="22"/>
                <w:szCs w:val="22"/>
                <w:lang w:val="en-US" w:eastAsia="zh-CN" w:bidi="zh-TW"/>
              </w:rPr>
              <w:t xml:space="preserve">     </w:t>
            </w:r>
            <w:r>
              <w:rPr>
                <w:rFonts w:hint="default" w:ascii="宋体" w:hAnsi="宋体" w:eastAsia="宋体" w:cs="宋体"/>
                <w:color w:val="000000"/>
                <w:sz w:val="22"/>
                <w:szCs w:val="22"/>
                <w:lang w:val="en-US" w:eastAsia="zh-CN" w:bidi="zh-TW"/>
              </w:rPr>
              <w:drawing>
                <wp:inline distT="0" distB="0" distL="114300" distR="114300">
                  <wp:extent cx="3001645" cy="2250440"/>
                  <wp:effectExtent l="0" t="0" r="8255" b="10160"/>
                  <wp:docPr id="15" name="图片 15" descr="ed92e56ff0e0b51a2bbe04fabd88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d92e56ff0e0b51a2bbe04fabd885b3"/>
                          <pic:cNvPicPr>
                            <a:picLocks noChangeAspect="1"/>
                          </pic:cNvPicPr>
                        </pic:nvPicPr>
                        <pic:blipFill>
                          <a:blip r:embed="rId7"/>
                          <a:stretch>
                            <a:fillRect/>
                          </a:stretch>
                        </pic:blipFill>
                        <pic:spPr>
                          <a:xfrm>
                            <a:off x="0" y="0"/>
                            <a:ext cx="3001645" cy="2250440"/>
                          </a:xfrm>
                          <a:prstGeom prst="rect">
                            <a:avLst/>
                          </a:prstGeom>
                        </pic:spPr>
                      </pic:pic>
                    </a:graphicData>
                  </a:graphic>
                </wp:inline>
              </w:drawing>
            </w:r>
            <w:bookmarkStart w:id="0" w:name="_GoBack"/>
            <w:bookmarkEnd w:id="0"/>
          </w:p>
          <w:p>
            <w:pPr>
              <w:numPr>
                <w:ilvl w:val="0"/>
                <w:numId w:val="0"/>
              </w:numPr>
              <w:jc w:val="both"/>
              <w:rPr>
                <w:rFonts w:hint="default" w:ascii="宋体" w:hAnsi="宋体" w:eastAsia="宋体" w:cs="宋体"/>
                <w:color w:val="000000"/>
                <w:sz w:val="22"/>
                <w:szCs w:val="22"/>
                <w:lang w:val="en-US" w:eastAsia="zh-CN" w:bidi="zh-TW"/>
              </w:rPr>
            </w:pPr>
          </w:p>
        </w:tc>
      </w:tr>
    </w:tbl>
    <w:p>
      <w:pPr>
        <w:jc w:val="both"/>
        <w:rPr>
          <w:rFonts w:hint="default" w:eastAsiaTheme="minorEastAsia"/>
          <w:sz w:val="28"/>
          <w:szCs w:val="28"/>
          <w:vertAlign w:val="baseline"/>
          <w:lang w:val="en-US" w:eastAsia="zh-CN"/>
        </w:rPr>
      </w:pPr>
      <w:r>
        <w:rPr>
          <w:rFonts w:hint="eastAsia"/>
          <w:sz w:val="28"/>
          <w:szCs w:val="28"/>
          <w:vertAlign w:val="baseline"/>
          <w:lang w:val="en-US" w:eastAsia="zh-CN"/>
        </w:rPr>
        <w:t>备注：每次活动结束后，教研组长、备课组长及时收齐所有资料。</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00AD558A"/>
    <w:rsid w:val="01011432"/>
    <w:rsid w:val="010F3B4F"/>
    <w:rsid w:val="062E4A77"/>
    <w:rsid w:val="06A74E1D"/>
    <w:rsid w:val="08873350"/>
    <w:rsid w:val="08C01BD2"/>
    <w:rsid w:val="0AD605AC"/>
    <w:rsid w:val="0B57681E"/>
    <w:rsid w:val="0CAF4438"/>
    <w:rsid w:val="0DAD0977"/>
    <w:rsid w:val="0E0B7D94"/>
    <w:rsid w:val="0E1053AA"/>
    <w:rsid w:val="0EDE2DB2"/>
    <w:rsid w:val="0F0C791F"/>
    <w:rsid w:val="0F205179"/>
    <w:rsid w:val="0FAC2EB1"/>
    <w:rsid w:val="105C6685"/>
    <w:rsid w:val="10615A49"/>
    <w:rsid w:val="11BF336F"/>
    <w:rsid w:val="14BB6070"/>
    <w:rsid w:val="170E6C90"/>
    <w:rsid w:val="17E01949"/>
    <w:rsid w:val="193E726F"/>
    <w:rsid w:val="1A361CF4"/>
    <w:rsid w:val="1A742769"/>
    <w:rsid w:val="1AB570BD"/>
    <w:rsid w:val="1ADB29A0"/>
    <w:rsid w:val="1D3544E5"/>
    <w:rsid w:val="1D3D339A"/>
    <w:rsid w:val="1E62130A"/>
    <w:rsid w:val="1EFF124F"/>
    <w:rsid w:val="201274A6"/>
    <w:rsid w:val="21986141"/>
    <w:rsid w:val="21F342EC"/>
    <w:rsid w:val="21FC3824"/>
    <w:rsid w:val="221A7A47"/>
    <w:rsid w:val="23F92711"/>
    <w:rsid w:val="265A6D6B"/>
    <w:rsid w:val="28C130D1"/>
    <w:rsid w:val="28C52BC1"/>
    <w:rsid w:val="2A293624"/>
    <w:rsid w:val="2B9D1BD3"/>
    <w:rsid w:val="2D6A7911"/>
    <w:rsid w:val="32B048E2"/>
    <w:rsid w:val="343E5792"/>
    <w:rsid w:val="3521422C"/>
    <w:rsid w:val="35366BF5"/>
    <w:rsid w:val="377D0B0B"/>
    <w:rsid w:val="37E56DDC"/>
    <w:rsid w:val="38D1110E"/>
    <w:rsid w:val="38D428CC"/>
    <w:rsid w:val="3B626996"/>
    <w:rsid w:val="3B786E53"/>
    <w:rsid w:val="3C410359"/>
    <w:rsid w:val="40D519B8"/>
    <w:rsid w:val="44D75B31"/>
    <w:rsid w:val="458A4D14"/>
    <w:rsid w:val="468974CC"/>
    <w:rsid w:val="488D1F6A"/>
    <w:rsid w:val="48B16866"/>
    <w:rsid w:val="4A3B6D2F"/>
    <w:rsid w:val="4A62250E"/>
    <w:rsid w:val="4C5C2F8D"/>
    <w:rsid w:val="4D63511D"/>
    <w:rsid w:val="51222256"/>
    <w:rsid w:val="53B81F7B"/>
    <w:rsid w:val="54176117"/>
    <w:rsid w:val="551B53B0"/>
    <w:rsid w:val="55342CF9"/>
    <w:rsid w:val="55B300C2"/>
    <w:rsid w:val="55BB2AD2"/>
    <w:rsid w:val="55DD0C9B"/>
    <w:rsid w:val="57D60097"/>
    <w:rsid w:val="586456A3"/>
    <w:rsid w:val="5B2D6220"/>
    <w:rsid w:val="5C4E40FD"/>
    <w:rsid w:val="5D5757D7"/>
    <w:rsid w:val="5F107184"/>
    <w:rsid w:val="60086E35"/>
    <w:rsid w:val="616208DA"/>
    <w:rsid w:val="636724EC"/>
    <w:rsid w:val="64EE67A6"/>
    <w:rsid w:val="67AA443C"/>
    <w:rsid w:val="6B8005EE"/>
    <w:rsid w:val="6D611D5A"/>
    <w:rsid w:val="6D966B59"/>
    <w:rsid w:val="6E4F6056"/>
    <w:rsid w:val="700E4171"/>
    <w:rsid w:val="705C48AE"/>
    <w:rsid w:val="70834F1C"/>
    <w:rsid w:val="71B40FF2"/>
    <w:rsid w:val="7292225F"/>
    <w:rsid w:val="735F4F8D"/>
    <w:rsid w:val="76F76C22"/>
    <w:rsid w:val="77CB7519"/>
    <w:rsid w:val="77FE4D75"/>
    <w:rsid w:val="7BAF5CCC"/>
    <w:rsid w:val="7C7F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2024-04-01T08:40:33Z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44F4442689D643C0BA03310DA987CC27_13</vt:lpwstr>
  </property>
</Properties>
</file>