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3333"/>
        <w:gridCol w:w="1401"/>
        <w:gridCol w:w="1348"/>
        <w:gridCol w:w="783"/>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jc w:val="center"/>
              <w:rPr>
                <w:rFonts w:hint="eastAsia"/>
                <w:b/>
                <w:bCs/>
                <w:sz w:val="28"/>
                <w:szCs w:val="28"/>
                <w:vertAlign w:val="baseline"/>
                <w:lang w:val="en-US" w:eastAsia="zh-CN"/>
              </w:rPr>
            </w:pPr>
            <w:r>
              <w:rPr>
                <w:rFonts w:hint="eastAsia"/>
                <w:b/>
                <w:bCs/>
                <w:sz w:val="28"/>
                <w:szCs w:val="28"/>
                <w:vertAlign w:val="baseline"/>
                <w:lang w:val="en-US" w:eastAsia="zh-CN"/>
              </w:rPr>
              <w:t>课题或项目发表论文汇总表（B4）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姓名</w:t>
            </w:r>
          </w:p>
        </w:tc>
        <w:tc>
          <w:tcPr>
            <w:tcW w:w="3333" w:type="dxa"/>
          </w:tcPr>
          <w:p>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论文题目</w:t>
            </w:r>
          </w:p>
        </w:tc>
        <w:tc>
          <w:tcPr>
            <w:tcW w:w="1401" w:type="dxa"/>
          </w:tcPr>
          <w:p>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发表时间</w:t>
            </w:r>
          </w:p>
        </w:tc>
        <w:tc>
          <w:tcPr>
            <w:tcW w:w="1348" w:type="dxa"/>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刊物</w:t>
            </w:r>
          </w:p>
        </w:tc>
        <w:tc>
          <w:tcPr>
            <w:tcW w:w="783" w:type="dxa"/>
          </w:tcPr>
          <w:p>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级别</w:t>
            </w:r>
          </w:p>
        </w:tc>
        <w:tc>
          <w:tcPr>
            <w:tcW w:w="710" w:type="dxa"/>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自评</w:t>
            </w:r>
          </w:p>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刘诗思</w:t>
            </w:r>
          </w:p>
        </w:tc>
        <w:tc>
          <w:tcPr>
            <w:tcW w:w="3333"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常州市中小学品格提升工程项目成果：</w:t>
            </w:r>
          </w:p>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《“双减”之下，让孩子站在“心”中央》</w:t>
            </w:r>
          </w:p>
        </w:tc>
        <w:tc>
          <w:tcPr>
            <w:tcW w:w="1401"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2023.12</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常州市教育局</w:t>
            </w:r>
          </w:p>
        </w:tc>
        <w:tc>
          <w:tcPr>
            <w:tcW w:w="783" w:type="dxa"/>
            <w:vAlign w:val="top"/>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市级</w:t>
            </w:r>
          </w:p>
        </w:tc>
        <w:tc>
          <w:tcPr>
            <w:tcW w:w="710" w:type="dxa"/>
            <w:vAlign w:val="top"/>
          </w:tcPr>
          <w:p>
            <w:pPr>
              <w:jc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孔晶</w:t>
            </w:r>
          </w:p>
        </w:tc>
        <w:tc>
          <w:tcPr>
            <w:tcW w:w="3333" w:type="dxa"/>
            <w:vAlign w:val="center"/>
          </w:tcPr>
          <w:p>
            <w:pPr>
              <w:keepNext w:val="0"/>
              <w:keepLines w:val="0"/>
              <w:widowControl/>
              <w:suppressLineNumbers w:val="0"/>
              <w:jc w:val="left"/>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常州市中小学品格提升工程项目结项评估结果：优秀</w:t>
            </w:r>
          </w:p>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《龙城@未来：“城市主人”品格教育情境的实践建构》</w:t>
            </w:r>
          </w:p>
        </w:tc>
        <w:tc>
          <w:tcPr>
            <w:tcW w:w="1401"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2024.6</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p>
        </w:tc>
        <w:tc>
          <w:tcPr>
            <w:tcW w:w="783" w:type="dxa"/>
            <w:vAlign w:val="top"/>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市级</w:t>
            </w:r>
          </w:p>
        </w:tc>
        <w:tc>
          <w:tcPr>
            <w:tcW w:w="710"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孔晶</w:t>
            </w:r>
          </w:p>
        </w:tc>
        <w:tc>
          <w:tcPr>
            <w:tcW w:w="3333"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《借助多元载体，构建阶梯式成长激励机制》</w:t>
            </w:r>
          </w:p>
        </w:tc>
        <w:tc>
          <w:tcPr>
            <w:tcW w:w="1401"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2022.7</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《中小学教育》</w:t>
            </w:r>
          </w:p>
        </w:tc>
        <w:tc>
          <w:tcPr>
            <w:tcW w:w="783" w:type="dxa"/>
            <w:vAlign w:val="top"/>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省级</w:t>
            </w:r>
          </w:p>
        </w:tc>
        <w:tc>
          <w:tcPr>
            <w:tcW w:w="710"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支慧</w:t>
            </w:r>
          </w:p>
        </w:tc>
        <w:tc>
          <w:tcPr>
            <w:tcW w:w="3333"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《小学班主任工作中开展德育教学和安全教学的重要性研究》</w:t>
            </w:r>
          </w:p>
        </w:tc>
        <w:tc>
          <w:tcPr>
            <w:tcW w:w="1401"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2023.11</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《双语教育研究》</w:t>
            </w:r>
          </w:p>
        </w:tc>
        <w:tc>
          <w:tcPr>
            <w:tcW w:w="783" w:type="dxa"/>
            <w:vAlign w:val="top"/>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省级</w:t>
            </w:r>
          </w:p>
        </w:tc>
        <w:tc>
          <w:tcPr>
            <w:tcW w:w="710"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支慧</w:t>
            </w:r>
          </w:p>
        </w:tc>
        <w:tc>
          <w:tcPr>
            <w:tcW w:w="3333"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《以人为本理念下小学班主任管理策略研究》</w:t>
            </w:r>
          </w:p>
        </w:tc>
        <w:tc>
          <w:tcPr>
            <w:tcW w:w="1401"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2024.1</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《教研博览》</w:t>
            </w:r>
          </w:p>
        </w:tc>
        <w:tc>
          <w:tcPr>
            <w:tcW w:w="783" w:type="dxa"/>
            <w:vAlign w:val="top"/>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省级</w:t>
            </w:r>
          </w:p>
        </w:tc>
        <w:tc>
          <w:tcPr>
            <w:tcW w:w="710"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马利平</w:t>
            </w:r>
          </w:p>
        </w:tc>
        <w:tc>
          <w:tcPr>
            <w:tcW w:w="3333"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《小学生同伴交往冲突分类化解的策略研究》</w:t>
            </w:r>
          </w:p>
        </w:tc>
        <w:tc>
          <w:tcPr>
            <w:tcW w:w="1401"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i w:val="0"/>
                <w:iCs w:val="0"/>
                <w:color w:val="auto"/>
                <w:kern w:val="0"/>
                <w:sz w:val="24"/>
                <w:szCs w:val="24"/>
                <w:u w:val="none"/>
                <w:lang w:val="en-US" w:eastAsia="zh-CN" w:bidi="ar"/>
              </w:rPr>
              <w:t>2024.03</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教育学文摘</w:t>
            </w:r>
          </w:p>
        </w:tc>
        <w:tc>
          <w:tcPr>
            <w:tcW w:w="783" w:type="dxa"/>
            <w:vAlign w:val="top"/>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省级</w:t>
            </w:r>
          </w:p>
        </w:tc>
        <w:tc>
          <w:tcPr>
            <w:tcW w:w="710"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孙洁</w:t>
            </w:r>
          </w:p>
        </w:tc>
        <w:tc>
          <w:tcPr>
            <w:tcW w:w="3333" w:type="dxa"/>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《新时代小学生班级建设中的学生评价体系的构建与实践策略研究》</w:t>
            </w:r>
          </w:p>
        </w:tc>
        <w:tc>
          <w:tcPr>
            <w:tcW w:w="1401"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2024.1</w:t>
            </w:r>
          </w:p>
        </w:tc>
        <w:tc>
          <w:tcPr>
            <w:tcW w:w="1348"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color w:val="auto"/>
                <w:sz w:val="24"/>
                <w:szCs w:val="24"/>
                <w:vertAlign w:val="baseline"/>
                <w:lang w:val="en-US" w:eastAsia="zh-CN"/>
              </w:rPr>
              <w:t>《中小学教育》</w:t>
            </w:r>
          </w:p>
        </w:tc>
        <w:tc>
          <w:tcPr>
            <w:tcW w:w="783" w:type="dxa"/>
            <w:vAlign w:val="top"/>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省级</w:t>
            </w:r>
          </w:p>
        </w:tc>
        <w:tc>
          <w:tcPr>
            <w:tcW w:w="710" w:type="dxa"/>
            <w:vAlign w:val="center"/>
          </w:tcPr>
          <w:p>
            <w:pPr>
              <w:keepNext w:val="0"/>
              <w:keepLines w:val="0"/>
              <w:widowControl/>
              <w:suppressLineNumbers w:val="0"/>
              <w:jc w:val="center"/>
              <w:textAlignment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孙洁</w:t>
            </w:r>
          </w:p>
        </w:tc>
        <w:tc>
          <w:tcPr>
            <w:tcW w:w="3333" w:type="dxa"/>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《“教为不教”理念下的隔代互学的实践研究》</w:t>
            </w:r>
          </w:p>
        </w:tc>
        <w:tc>
          <w:tcPr>
            <w:tcW w:w="1401"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2023.10</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4"/>
                <w:szCs w:val="24"/>
                <w:vertAlign w:val="baseline"/>
                <w:lang w:val="en-US" w:eastAsia="zh-CN"/>
              </w:rPr>
            </w:pPr>
          </w:p>
        </w:tc>
        <w:tc>
          <w:tcPr>
            <w:tcW w:w="783" w:type="dxa"/>
            <w:vAlign w:val="top"/>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省级课题参与</w:t>
            </w:r>
          </w:p>
        </w:tc>
        <w:tc>
          <w:tcPr>
            <w:tcW w:w="71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0000FF"/>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top"/>
          </w:tcPr>
          <w:p>
            <w:pP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史群</w:t>
            </w:r>
          </w:p>
        </w:tc>
        <w:tc>
          <w:tcPr>
            <w:tcW w:w="3333" w:type="dxa"/>
            <w:vAlign w:val="top"/>
          </w:tcPr>
          <w:p>
            <w:pPr>
              <w:keepNext w:val="0"/>
              <w:keepLines w:val="0"/>
              <w:widowControl/>
              <w:suppressLineNumbers w:val="0"/>
              <w:jc w:val="left"/>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r>
              <w:rPr>
                <w:rFonts w:hint="eastAsia" w:ascii="宋体" w:hAnsi="宋体" w:eastAsia="宋体" w:cs="宋体"/>
                <w:color w:val="000000"/>
                <w:kern w:val="0"/>
                <w:sz w:val="18"/>
                <w:szCs w:val="18"/>
                <w:lang w:val="en-US" w:eastAsia="zh-CN" w:bidi="ar"/>
              </w:rPr>
              <w:t xml:space="preserve">基于乡村资源的公益活动课程开发与实施研究 </w:t>
            </w:r>
            <w:r>
              <w:rPr>
                <w:rFonts w:hint="eastAsia" w:ascii="宋体" w:hAnsi="宋体" w:eastAsia="宋体" w:cs="宋体"/>
                <w:b w:val="0"/>
                <w:bCs w:val="0"/>
                <w:color w:val="auto"/>
                <w:sz w:val="18"/>
                <w:szCs w:val="18"/>
                <w:vertAlign w:val="baseline"/>
                <w:lang w:val="en-US" w:eastAsia="zh-CN"/>
              </w:rPr>
              <w:t>》</w:t>
            </w:r>
          </w:p>
        </w:tc>
        <w:tc>
          <w:tcPr>
            <w:tcW w:w="1401"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2024.6</w:t>
            </w:r>
          </w:p>
        </w:tc>
        <w:tc>
          <w:tcPr>
            <w:tcW w:w="1348" w:type="dxa"/>
            <w:vAlign w:val="top"/>
          </w:tcPr>
          <w:p>
            <w:pPr>
              <w:jc w:val="center"/>
              <w:rPr>
                <w:rFonts w:hint="eastAsia" w:ascii="宋体" w:hAnsi="宋体" w:eastAsia="宋体" w:cs="宋体"/>
                <w:b w:val="0"/>
                <w:bCs w:val="0"/>
                <w:color w:val="auto"/>
                <w:kern w:val="2"/>
                <w:sz w:val="24"/>
                <w:szCs w:val="24"/>
                <w:vertAlign w:val="baseline"/>
                <w:lang w:val="en-US" w:eastAsia="zh-CN" w:bidi="ar-SA"/>
              </w:rPr>
            </w:pPr>
          </w:p>
        </w:tc>
        <w:tc>
          <w:tcPr>
            <w:tcW w:w="783" w:type="dxa"/>
            <w:vAlign w:val="top"/>
          </w:tcPr>
          <w:p>
            <w:pPr>
              <w:jc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省</w:t>
            </w:r>
          </w:p>
        </w:tc>
        <w:tc>
          <w:tcPr>
            <w:tcW w:w="710"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top"/>
          </w:tcPr>
          <w:p>
            <w:pP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王海霞</w:t>
            </w:r>
          </w:p>
        </w:tc>
        <w:tc>
          <w:tcPr>
            <w:tcW w:w="3333" w:type="dxa"/>
            <w:vAlign w:val="top"/>
          </w:tcPr>
          <w:p>
            <w:pP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《依托本土红色资源构建德育体系的研究》</w:t>
            </w:r>
          </w:p>
        </w:tc>
        <w:tc>
          <w:tcPr>
            <w:tcW w:w="1401"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2022.12</w:t>
            </w:r>
          </w:p>
        </w:tc>
        <w:tc>
          <w:tcPr>
            <w:tcW w:w="1348" w:type="dxa"/>
            <w:vAlign w:val="top"/>
          </w:tcPr>
          <w:p>
            <w:pPr>
              <w:jc w:val="center"/>
              <w:rPr>
                <w:rFonts w:hint="eastAsia" w:ascii="宋体" w:hAnsi="宋体" w:eastAsia="宋体" w:cs="宋体"/>
                <w:b w:val="0"/>
                <w:bCs w:val="0"/>
                <w:color w:val="auto"/>
                <w:kern w:val="2"/>
                <w:sz w:val="24"/>
                <w:szCs w:val="24"/>
                <w:vertAlign w:val="baseline"/>
                <w:lang w:val="en-US" w:eastAsia="zh-CN" w:bidi="ar-SA"/>
              </w:rPr>
            </w:pPr>
          </w:p>
        </w:tc>
        <w:tc>
          <w:tcPr>
            <w:tcW w:w="783" w:type="dxa"/>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区</w:t>
            </w:r>
          </w:p>
        </w:tc>
        <w:tc>
          <w:tcPr>
            <w:tcW w:w="710" w:type="dxa"/>
            <w:vAlign w:val="top"/>
          </w:tcPr>
          <w:p>
            <w:pPr>
              <w:jc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林燕群</w:t>
            </w:r>
          </w:p>
        </w:tc>
        <w:tc>
          <w:tcPr>
            <w:tcW w:w="3333" w:type="dxa"/>
            <w:vAlign w:val="center"/>
          </w:tcPr>
          <w:p>
            <w:pPr>
              <w:jc w:val="left"/>
              <w:rPr>
                <w:rFonts w:hint="eastAsia" w:ascii="宋体" w:hAnsi="宋体" w:cs="宋体"/>
                <w:sz w:val="21"/>
                <w:szCs w:val="21"/>
                <w:lang w:val="en-US" w:eastAsia="zh-CN"/>
              </w:rPr>
            </w:pPr>
            <w:r>
              <w:rPr>
                <w:rFonts w:hint="eastAsia" w:ascii="宋体" w:hAnsi="宋体" w:cs="宋体"/>
                <w:sz w:val="21"/>
                <w:szCs w:val="21"/>
                <w:lang w:val="en-US" w:eastAsia="zh-CN"/>
              </w:rPr>
              <w:t>1.主持市品格提升工程项目，撰写项目结项书；</w:t>
            </w:r>
          </w:p>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p>
        </w:tc>
        <w:tc>
          <w:tcPr>
            <w:tcW w:w="1401"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2024.12</w:t>
            </w:r>
          </w:p>
        </w:tc>
        <w:tc>
          <w:tcPr>
            <w:tcW w:w="1348"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常州市教育局</w:t>
            </w:r>
          </w:p>
        </w:tc>
        <w:tc>
          <w:tcPr>
            <w:tcW w:w="783" w:type="dxa"/>
            <w:vAlign w:val="top"/>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市级</w:t>
            </w:r>
          </w:p>
        </w:tc>
        <w:tc>
          <w:tcPr>
            <w:tcW w:w="710" w:type="dxa"/>
            <w:vMerge w:val="restart"/>
            <w:vAlign w:val="top"/>
          </w:tcPr>
          <w:p>
            <w:pPr>
              <w:jc w:val="center"/>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林燕群</w:t>
            </w:r>
          </w:p>
        </w:tc>
        <w:tc>
          <w:tcPr>
            <w:tcW w:w="3333"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cs="宋体"/>
                <w:sz w:val="21"/>
                <w:szCs w:val="21"/>
                <w:lang w:val="en-US" w:eastAsia="zh-CN"/>
              </w:rPr>
              <w:t>2.参与的项目《基于情境的互动式家长课程的开发与研究》获区十佳德育特色项目</w:t>
            </w:r>
          </w:p>
        </w:tc>
        <w:tc>
          <w:tcPr>
            <w:tcW w:w="1401" w:type="dxa"/>
            <w:vAlign w:val="center"/>
          </w:tcPr>
          <w:p>
            <w:pPr>
              <w:keepNext w:val="0"/>
              <w:keepLines w:val="0"/>
              <w:widowControl/>
              <w:suppressLineNumbers w:val="0"/>
              <w:ind w:firstLine="240" w:firstLineChars="10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2023.9</w:t>
            </w:r>
          </w:p>
        </w:tc>
        <w:tc>
          <w:tcPr>
            <w:tcW w:w="1348" w:type="dxa"/>
            <w:vAlign w:val="center"/>
          </w:tcPr>
          <w:p>
            <w:pPr>
              <w:keepNext w:val="0"/>
              <w:keepLines w:val="0"/>
              <w:widowControl/>
              <w:suppressLineNumbers w:val="0"/>
              <w:jc w:val="left"/>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新北区教育局</w:t>
            </w:r>
          </w:p>
        </w:tc>
        <w:tc>
          <w:tcPr>
            <w:tcW w:w="783" w:type="dxa"/>
            <w:vAlign w:val="top"/>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区级</w:t>
            </w:r>
          </w:p>
        </w:tc>
        <w:tc>
          <w:tcPr>
            <w:tcW w:w="710" w:type="dxa"/>
            <w:vMerge w:val="continue"/>
            <w:vAlign w:val="center"/>
          </w:tcPr>
          <w:p>
            <w:pPr>
              <w:keepNext w:val="0"/>
              <w:keepLines w:val="0"/>
              <w:widowControl/>
              <w:suppressLineNumbers w:val="0"/>
              <w:jc w:val="center"/>
              <w:textAlignment w:val="center"/>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333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140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48"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83" w:type="dxa"/>
            <w:vAlign w:val="top"/>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710" w:type="dxa"/>
            <w:vAlign w:val="center"/>
          </w:tcPr>
          <w:p>
            <w:pPr>
              <w:keepNext w:val="0"/>
              <w:keepLines w:val="0"/>
              <w:widowControl/>
              <w:suppressLineNumbers w:val="0"/>
              <w:jc w:val="center"/>
              <w:textAlignment w:val="center"/>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汇总</w:t>
            </w:r>
          </w:p>
        </w:tc>
        <w:tc>
          <w:tcPr>
            <w:tcW w:w="6865" w:type="dxa"/>
            <w:gridSpan w:val="4"/>
            <w:vAlign w:val="center"/>
          </w:tcPr>
          <w:p>
            <w:pPr>
              <w:keepNext w:val="0"/>
              <w:keepLines w:val="0"/>
              <w:widowControl/>
              <w:suppressLineNumbers w:val="0"/>
              <w:jc w:val="left"/>
              <w:textAlignment w:val="center"/>
              <w:rPr>
                <w:rFonts w:hint="eastAsia" w:ascii="宋体" w:hAnsi="宋体" w:eastAsia="宋体" w:cs="宋体"/>
                <w:b/>
                <w:bCs/>
                <w:i w:val="0"/>
                <w:iCs w:val="0"/>
                <w:color w:val="0000FF"/>
                <w:kern w:val="0"/>
                <w:sz w:val="24"/>
                <w:szCs w:val="24"/>
                <w:u w:val="none"/>
                <w:lang w:val="en-US" w:eastAsia="zh-CN" w:bidi="ar"/>
              </w:rPr>
            </w:pPr>
          </w:p>
        </w:tc>
        <w:tc>
          <w:tcPr>
            <w:tcW w:w="710" w:type="dxa"/>
            <w:vAlign w:val="center"/>
          </w:tcPr>
          <w:p>
            <w:pPr>
              <w:keepNext w:val="0"/>
              <w:keepLines w:val="0"/>
              <w:widowControl/>
              <w:suppressLineNumbers w:val="0"/>
              <w:jc w:val="center"/>
              <w:textAlignment w:val="center"/>
              <w:rPr>
                <w:rFonts w:hint="default" w:ascii="宋体" w:hAnsi="宋体" w:eastAsia="宋体" w:cs="宋体"/>
                <w:b/>
                <w:bCs/>
                <w:color w:val="0000FF"/>
                <w:sz w:val="24"/>
                <w:szCs w:val="24"/>
                <w:vertAlign w:val="baseline"/>
                <w:lang w:val="en-US" w:eastAsia="zh-CN"/>
              </w:rPr>
            </w:pPr>
            <w:r>
              <w:rPr>
                <w:rFonts w:hint="eastAsia" w:ascii="宋体" w:hAnsi="宋体" w:eastAsia="宋体" w:cs="宋体"/>
                <w:b/>
                <w:bCs/>
                <w:color w:val="0000FF"/>
                <w:sz w:val="24"/>
                <w:szCs w:val="24"/>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p>
        </w:tc>
        <w:tc>
          <w:tcPr>
            <w:tcW w:w="333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140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48"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83" w:type="dxa"/>
            <w:vAlign w:val="top"/>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710" w:type="dxa"/>
            <w:vAlign w:val="center"/>
          </w:tcPr>
          <w:p>
            <w:pPr>
              <w:keepNext w:val="0"/>
              <w:keepLines w:val="0"/>
              <w:widowControl/>
              <w:suppressLineNumbers w:val="0"/>
              <w:jc w:val="center"/>
              <w:textAlignment w:val="center"/>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333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140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48"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83" w:type="dxa"/>
            <w:vAlign w:val="top"/>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710" w:type="dxa"/>
            <w:vAlign w:val="center"/>
          </w:tcPr>
          <w:p>
            <w:pPr>
              <w:keepNext w:val="0"/>
              <w:keepLines w:val="0"/>
              <w:widowControl/>
              <w:suppressLineNumbers w:val="0"/>
              <w:jc w:val="center"/>
              <w:textAlignment w:val="center"/>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333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140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48"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83" w:type="dxa"/>
            <w:vAlign w:val="top"/>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710" w:type="dxa"/>
            <w:vAlign w:val="center"/>
          </w:tcPr>
          <w:p>
            <w:pPr>
              <w:keepNext w:val="0"/>
              <w:keepLines w:val="0"/>
              <w:widowControl/>
              <w:suppressLineNumbers w:val="0"/>
              <w:jc w:val="center"/>
              <w:textAlignment w:val="center"/>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p>
        </w:tc>
        <w:tc>
          <w:tcPr>
            <w:tcW w:w="3333" w:type="dxa"/>
            <w:vAlign w:val="center"/>
          </w:tcPr>
          <w:p>
            <w:pPr>
              <w:keepNext w:val="0"/>
              <w:keepLines w:val="0"/>
              <w:widowControl/>
              <w:suppressLineNumbers w:val="0"/>
              <w:jc w:val="left"/>
              <w:textAlignment w:val="center"/>
              <w:rPr>
                <w:rFonts w:hint="eastAsia" w:ascii="宋体" w:hAnsi="宋体" w:eastAsia="宋体" w:cs="宋体"/>
                <w:color w:val="auto"/>
                <w:kern w:val="2"/>
                <w:sz w:val="24"/>
                <w:szCs w:val="24"/>
                <w:lang w:val="en-US" w:eastAsia="zh-CN" w:bidi="ar-SA"/>
              </w:rPr>
            </w:pPr>
          </w:p>
        </w:tc>
        <w:tc>
          <w:tcPr>
            <w:tcW w:w="140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1348"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p>
        </w:tc>
        <w:tc>
          <w:tcPr>
            <w:tcW w:w="783" w:type="dxa"/>
            <w:vAlign w:val="top"/>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710" w:type="dxa"/>
            <w:vAlign w:val="center"/>
          </w:tcPr>
          <w:p>
            <w:pPr>
              <w:keepNext w:val="0"/>
              <w:keepLines w:val="0"/>
              <w:widowControl/>
              <w:suppressLineNumbers w:val="0"/>
              <w:jc w:val="center"/>
              <w:textAlignment w:val="center"/>
              <w:rPr>
                <w:rFonts w:hint="default" w:ascii="宋体" w:hAnsi="宋体" w:eastAsia="宋体" w:cs="宋体"/>
                <w:b w:val="0"/>
                <w:bCs w:val="0"/>
                <w:color w:val="auto"/>
                <w:sz w:val="24"/>
                <w:szCs w:val="24"/>
                <w:vertAlign w:val="baseline"/>
                <w:lang w:val="en-US" w:eastAsia="zh-CN"/>
              </w:rPr>
            </w:pPr>
          </w:p>
        </w:tc>
      </w:tr>
    </w:tbl>
    <w:p/>
    <w:p/>
    <w:p/>
    <w:p>
      <w:pPr>
        <w:pStyle w:val="2"/>
        <w:spacing w:line="276" w:lineRule="auto"/>
        <w:rPr>
          <w:rFonts w:hint="eastAsia" w:ascii="楷体" w:hAnsi="楷体" w:eastAsia="楷体" w:cs="楷体_GB2312"/>
          <w:b/>
          <w:bCs/>
          <w:sz w:val="24"/>
          <w:szCs w:val="21"/>
          <w:lang w:val="en-US" w:eastAsia="zh-CN"/>
        </w:rPr>
      </w:pPr>
      <w:r>
        <w:rPr>
          <w:rFonts w:hint="eastAsia" w:ascii="楷体" w:hAnsi="楷体" w:eastAsia="楷体" w:cs="楷体_GB2312"/>
          <w:b/>
          <w:bCs/>
          <w:color w:val="FF0000"/>
          <w:sz w:val="24"/>
          <w:szCs w:val="21"/>
          <w:lang w:val="en-US" w:eastAsia="zh-CN"/>
        </w:rPr>
        <w:t>核心参与</w:t>
      </w:r>
      <w:r>
        <w:rPr>
          <w:rFonts w:hint="eastAsia" w:ascii="楷体" w:hAnsi="楷体" w:eastAsia="楷体" w:cs="楷体_GB2312"/>
          <w:b/>
          <w:bCs/>
          <w:sz w:val="24"/>
          <w:szCs w:val="21"/>
          <w:lang w:val="en-US" w:eastAsia="zh-CN"/>
        </w:rPr>
        <w:t>2022年常州市中小学生品格提升工程项目《向“心”而行 共育美好——“1+1+N”区域心理健康教育的实践探索》</w:t>
      </w:r>
    </w:p>
    <w:p>
      <w:pPr>
        <w:pStyle w:val="2"/>
        <w:spacing w:line="276" w:lineRule="auto"/>
        <w:rPr>
          <w:rFonts w:hint="eastAsia" w:ascii="楷体" w:hAnsi="楷体" w:eastAsia="楷体" w:cs="楷体_GB2312"/>
          <w:b/>
          <w:bCs/>
          <w:sz w:val="24"/>
          <w:szCs w:val="21"/>
          <w:lang w:val="en-US" w:eastAsia="zh-CN"/>
        </w:rPr>
      </w:pPr>
      <w:r>
        <w:rPr>
          <w:rFonts w:hint="eastAsia" w:ascii="楷体" w:hAnsi="楷体" w:eastAsia="楷体" w:cs="楷体_GB2312"/>
          <w:b/>
          <w:bCs/>
          <w:color w:val="FF0000"/>
          <w:sz w:val="24"/>
          <w:szCs w:val="21"/>
          <w:lang w:val="en-US" w:eastAsia="zh-CN"/>
        </w:rPr>
        <w:t>核心参与</w:t>
      </w:r>
      <w:r>
        <w:rPr>
          <w:rFonts w:hint="eastAsia" w:ascii="楷体" w:hAnsi="楷体" w:eastAsia="楷体" w:cs="楷体_GB2312"/>
          <w:b/>
          <w:bCs/>
          <w:sz w:val="24"/>
          <w:szCs w:val="21"/>
          <w:lang w:val="en-US" w:eastAsia="zh-CN"/>
        </w:rPr>
        <w:t>2022年常州市中小学生常州市品格提升工程项目《初心园：涵育英雄品格的在场行动》</w:t>
      </w:r>
    </w:p>
    <w:p>
      <w:pPr>
        <w:pStyle w:val="2"/>
        <w:spacing w:line="276" w:lineRule="auto"/>
        <w:rPr>
          <w:rFonts w:hint="eastAsia" w:ascii="楷体" w:hAnsi="楷体" w:eastAsia="楷体" w:cs="楷体_GB2312"/>
          <w:b/>
          <w:bCs/>
          <w:sz w:val="24"/>
          <w:szCs w:val="21"/>
          <w:lang w:val="en-US" w:eastAsia="zh-CN"/>
        </w:rPr>
      </w:pPr>
    </w:p>
    <w:p>
      <w:pPr>
        <w:pStyle w:val="2"/>
        <w:spacing w:line="276" w:lineRule="auto"/>
        <w:rPr>
          <w:rFonts w:hint="default" w:ascii="楷体" w:hAnsi="楷体" w:eastAsia="楷体" w:cs="楷体_GB2312"/>
          <w:b/>
          <w:bCs/>
          <w:sz w:val="24"/>
          <w:szCs w:val="21"/>
          <w:lang w:val="en-US" w:eastAsia="zh-CN"/>
        </w:rPr>
      </w:pPr>
      <w:r>
        <w:rPr>
          <w:rFonts w:hint="eastAsia" w:ascii="楷体" w:hAnsi="楷体" w:eastAsia="楷体" w:cs="楷体_GB2312"/>
          <w:b/>
          <w:bCs/>
          <w:sz w:val="24"/>
          <w:szCs w:val="21"/>
          <w:lang w:val="en-US" w:eastAsia="zh-CN"/>
        </w:rPr>
        <w:t>和项目相关的心理案例获奖：</w:t>
      </w:r>
    </w:p>
    <w:p>
      <w:pPr>
        <w:pStyle w:val="4"/>
        <w:keepNext w:val="0"/>
        <w:keepLines w:val="0"/>
        <w:widowControl/>
        <w:suppressLineNumbers w:val="0"/>
      </w:pPr>
      <w:r>
        <w:rPr>
          <w:rFonts w:hint="eastAsia" w:ascii="楷体" w:hAnsi="楷体" w:eastAsia="楷体" w:cs="楷体_GB2312"/>
          <w:b/>
          <w:bCs/>
          <w:sz w:val="24"/>
          <w:szCs w:val="21"/>
          <w:lang w:val="en-US" w:eastAsia="zh-CN"/>
        </w:rPr>
        <w:drawing>
          <wp:inline distT="0" distB="0" distL="114300" distR="114300">
            <wp:extent cx="4079240" cy="4855845"/>
            <wp:effectExtent l="0" t="0" r="10160" b="8255"/>
            <wp:docPr id="189" name="图片 189" descr="扫描全能王 2023-07-05 13.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扫描全能王 2023-07-05 13.15_1"/>
                    <pic:cNvPicPr>
                      <a:picLocks noChangeAspect="1"/>
                    </pic:cNvPicPr>
                  </pic:nvPicPr>
                  <pic:blipFill>
                    <a:blip r:embed="rId4"/>
                    <a:stretch>
                      <a:fillRect/>
                    </a:stretch>
                  </pic:blipFill>
                  <pic:spPr>
                    <a:xfrm>
                      <a:off x="0" y="0"/>
                      <a:ext cx="4079240" cy="4855845"/>
                    </a:xfrm>
                    <a:prstGeom prst="rect">
                      <a:avLst/>
                    </a:prstGeom>
                  </pic:spPr>
                </pic:pic>
              </a:graphicData>
            </a:graphic>
          </wp:inline>
        </w:drawing>
      </w:r>
    </w:p>
    <w:p>
      <w:pP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971415" cy="3257550"/>
            <wp:effectExtent l="0" t="0" r="6985" b="6350"/>
            <wp:docPr id="19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 descr="IMG_256"/>
                    <pic:cNvPicPr>
                      <a:picLocks noChangeAspect="1"/>
                    </pic:cNvPicPr>
                  </pic:nvPicPr>
                  <pic:blipFill>
                    <a:blip r:embed="rId5"/>
                    <a:stretch>
                      <a:fillRect/>
                    </a:stretch>
                  </pic:blipFill>
                  <pic:spPr>
                    <a:xfrm>
                      <a:off x="0" y="0"/>
                      <a:ext cx="4971415" cy="3257550"/>
                    </a:xfrm>
                    <a:prstGeom prst="rect">
                      <a:avLst/>
                    </a:prstGeom>
                    <a:noFill/>
                    <a:ln w="9525">
                      <a:noFill/>
                    </a:ln>
                  </pic:spPr>
                </pic:pic>
              </a:graphicData>
            </a:graphic>
          </wp:inline>
        </w:drawing>
      </w:r>
    </w:p>
    <w:p>
      <w:pP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8595" cy="3886835"/>
            <wp:effectExtent l="0" t="0" r="1905" b="12065"/>
            <wp:docPr id="5" name="图片 5" descr="Image_171375050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_1713750506078"/>
                    <pic:cNvPicPr>
                      <a:picLocks noChangeAspect="1"/>
                    </pic:cNvPicPr>
                  </pic:nvPicPr>
                  <pic:blipFill>
                    <a:blip r:embed="rId6"/>
                    <a:stretch>
                      <a:fillRect/>
                    </a:stretch>
                  </pic:blipFill>
                  <pic:spPr>
                    <a:xfrm>
                      <a:off x="0" y="0"/>
                      <a:ext cx="5268595" cy="3886835"/>
                    </a:xfrm>
                    <a:prstGeom prst="rect">
                      <a:avLst/>
                    </a:prstGeom>
                  </pic:spPr>
                </pic:pic>
              </a:graphicData>
            </a:graphic>
          </wp:inline>
        </w:drawing>
      </w:r>
    </w:p>
    <w:p/>
    <w:p>
      <w:pPr>
        <w:rPr>
          <w:rFonts w:hint="default" w:eastAsiaTheme="minorEastAsia"/>
          <w:lang w:val="en-US" w:eastAsia="zh-CN"/>
        </w:rPr>
      </w:pPr>
      <w:r>
        <w:rPr>
          <w:rFonts w:hint="eastAsia" w:ascii="仿宋_GB2312" w:eastAsia="仿宋_GB2312" w:cs="楷体_GB2312"/>
          <w:b/>
          <w:bCs/>
          <w:color w:val="FF0000"/>
          <w:kern w:val="0"/>
          <w:sz w:val="24"/>
          <w:lang w:val="en-US" w:eastAsia="zh-CN"/>
        </w:rPr>
        <w:t>项目成果：发表论文《借助多元载体，构建阶梯式成长激励机制》</w:t>
      </w:r>
    </w:p>
    <w:p/>
    <w:p/>
    <w:p/>
    <w:p/>
    <w:p/>
    <w:p>
      <w:r>
        <w:drawing>
          <wp:inline distT="0" distB="0" distL="114300" distR="114300">
            <wp:extent cx="5273040" cy="6338570"/>
            <wp:effectExtent l="0" t="0" r="1016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6338570"/>
                    </a:xfrm>
                    <a:prstGeom prst="rect">
                      <a:avLst/>
                    </a:prstGeom>
                    <a:noFill/>
                    <a:ln>
                      <a:noFill/>
                    </a:ln>
                  </pic:spPr>
                </pic:pic>
              </a:graphicData>
            </a:graphic>
          </wp:inline>
        </w:drawing>
      </w:r>
      <w:r>
        <w:drawing>
          <wp:inline distT="0" distB="0" distL="114300" distR="114300">
            <wp:extent cx="5271770" cy="5879465"/>
            <wp:effectExtent l="0" t="0" r="1143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1770" cy="5879465"/>
                    </a:xfrm>
                    <a:prstGeom prst="rect">
                      <a:avLst/>
                    </a:prstGeom>
                    <a:noFill/>
                    <a:ln>
                      <a:noFill/>
                    </a:ln>
                  </pic:spPr>
                </pic:pic>
              </a:graphicData>
            </a:graphic>
          </wp:inline>
        </w:drawing>
      </w:r>
      <w:r>
        <w:drawing>
          <wp:inline distT="0" distB="0" distL="114300" distR="114300">
            <wp:extent cx="5272405" cy="3411220"/>
            <wp:effectExtent l="0" t="0" r="1079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2405" cy="3411220"/>
                    </a:xfrm>
                    <a:prstGeom prst="rect">
                      <a:avLst/>
                    </a:prstGeom>
                    <a:noFill/>
                    <a:ln>
                      <a:noFill/>
                    </a:ln>
                  </pic:spPr>
                </pic:pic>
              </a:graphicData>
            </a:graphic>
          </wp:inline>
        </w:drawing>
      </w:r>
    </w:p>
    <w:p>
      <w:pPr>
        <w:rPr>
          <w:rFonts w:hint="eastAsia" w:ascii="仿宋_GB2312" w:eastAsia="仿宋_GB2312" w:cs="楷体_GB2312"/>
          <w:b/>
          <w:bCs/>
          <w:color w:val="FF0000"/>
          <w:kern w:val="0"/>
          <w:sz w:val="24"/>
          <w:lang w:val="en-US" w:eastAsia="zh-CN"/>
        </w:rPr>
      </w:pPr>
      <w:r>
        <w:rPr>
          <w:rFonts w:hint="eastAsia" w:ascii="仿宋_GB2312" w:eastAsia="仿宋_GB2312" w:cs="楷体_GB2312"/>
          <w:b/>
          <w:bCs/>
          <w:color w:val="FF0000"/>
          <w:kern w:val="0"/>
          <w:sz w:val="24"/>
          <w:lang w:val="en-US" w:eastAsia="zh-CN"/>
        </w:rPr>
        <w:t>项目成果：发表论文《借助多元载体，构建阶梯式成长激励机制》</w:t>
      </w:r>
    </w:p>
    <w:p>
      <w:r>
        <w:drawing>
          <wp:inline distT="0" distB="0" distL="114300" distR="114300">
            <wp:extent cx="3862070" cy="4319905"/>
            <wp:effectExtent l="0" t="0" r="11430" b="10795"/>
            <wp:docPr id="2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1"/>
                    <pic:cNvPicPr>
                      <a:picLocks noChangeAspect="1"/>
                    </pic:cNvPicPr>
                  </pic:nvPicPr>
                  <pic:blipFill>
                    <a:blip r:embed="rId10"/>
                    <a:stretch>
                      <a:fillRect/>
                    </a:stretch>
                  </pic:blipFill>
                  <pic:spPr>
                    <a:xfrm>
                      <a:off x="0" y="0"/>
                      <a:ext cx="3862070" cy="4319905"/>
                    </a:xfrm>
                    <a:prstGeom prst="rect">
                      <a:avLst/>
                    </a:prstGeom>
                    <a:noFill/>
                    <a:ln>
                      <a:noFill/>
                    </a:ln>
                  </pic:spPr>
                </pic:pic>
              </a:graphicData>
            </a:graphic>
          </wp:inline>
        </w:drawing>
      </w:r>
    </w:p>
    <w:p/>
    <w:p/>
    <w:p/>
    <w:p/>
    <w:p>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-25400</wp:posOffset>
            </wp:positionH>
            <wp:positionV relativeFrom="paragraph">
              <wp:posOffset>-105410</wp:posOffset>
            </wp:positionV>
            <wp:extent cx="4019550" cy="4776470"/>
            <wp:effectExtent l="0" t="0" r="6350" b="1143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stretch>
                      <a:fillRect/>
                    </a:stretch>
                  </pic:blipFill>
                  <pic:spPr>
                    <a:xfrm>
                      <a:off x="0" y="0"/>
                      <a:ext cx="4019550" cy="4776470"/>
                    </a:xfrm>
                    <a:prstGeom prst="rect">
                      <a:avLst/>
                    </a:prstGeom>
                    <a:noFill/>
                    <a:ln w="9525">
                      <a:noFill/>
                    </a:ln>
                  </pic:spPr>
                </pic:pic>
              </a:graphicData>
            </a:graphic>
          </wp:anchor>
        </w:drawing>
      </w:r>
    </w:p>
    <w:p/>
    <w:p/>
    <w:p/>
    <w:p/>
    <w:p/>
    <w:p/>
    <w:p/>
    <w:p/>
    <w:p/>
    <w:p/>
    <w:p/>
    <w:p/>
    <w:p/>
    <w:p/>
    <w:p/>
    <w:p/>
    <w:p/>
    <w:p/>
    <w:p/>
    <w:p/>
    <w:p/>
    <w:p/>
    <w:p>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-3689985</wp:posOffset>
            </wp:positionH>
            <wp:positionV relativeFrom="paragraph">
              <wp:posOffset>160020</wp:posOffset>
            </wp:positionV>
            <wp:extent cx="3992245" cy="4079875"/>
            <wp:effectExtent l="0" t="0" r="8255" b="9525"/>
            <wp:wrapSquare wrapText="bothSides"/>
            <wp:docPr id="6" name="图片 6" descr="IMG_20240630_23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630_231400"/>
                    <pic:cNvPicPr>
                      <a:picLocks noChangeAspect="1"/>
                    </pic:cNvPicPr>
                  </pic:nvPicPr>
                  <pic:blipFill>
                    <a:blip r:embed="rId12"/>
                    <a:stretch>
                      <a:fillRect/>
                    </a:stretch>
                  </pic:blipFill>
                  <pic:spPr>
                    <a:xfrm>
                      <a:off x="0" y="0"/>
                      <a:ext cx="3992245" cy="4079875"/>
                    </a:xfrm>
                    <a:prstGeom prst="rect">
                      <a:avLst/>
                    </a:prstGeom>
                  </pic:spPr>
                </pic:pic>
              </a:graphicData>
            </a:graphic>
          </wp:anchor>
        </w:drawing>
      </w:r>
    </w:p>
    <w:p/>
    <w:p/>
    <w:p/>
    <w:p/>
    <w:p/>
    <w:p/>
    <w:p>
      <w:pPr>
        <w:rPr>
          <w:rFonts w:hint="eastAsia" w:eastAsiaTheme="minorEastAsia"/>
          <w:lang w:eastAsia="zh-CN"/>
        </w:rPr>
      </w:pPr>
    </w:p>
    <w:p/>
    <w:p/>
    <w:p/>
    <w:p/>
    <w:p/>
    <w:p/>
    <w:p/>
    <w:p/>
    <w:p/>
    <w:p/>
    <w:p/>
    <w:p/>
    <w:p/>
    <w:p>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12700</wp:posOffset>
            </wp:positionH>
            <wp:positionV relativeFrom="paragraph">
              <wp:posOffset>-16510</wp:posOffset>
            </wp:positionV>
            <wp:extent cx="3985895" cy="5259705"/>
            <wp:effectExtent l="0" t="0" r="1905" b="10795"/>
            <wp:wrapSquare wrapText="bothSides"/>
            <wp:docPr id="9" name="图片 9" descr="IMG_20240630_232240_edit_61375497288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630_232240_edit_6137549728834829"/>
                    <pic:cNvPicPr>
                      <a:picLocks noChangeAspect="1"/>
                    </pic:cNvPicPr>
                  </pic:nvPicPr>
                  <pic:blipFill>
                    <a:blip r:embed="rId13"/>
                    <a:stretch>
                      <a:fillRect/>
                    </a:stretch>
                  </pic:blipFill>
                  <pic:spPr>
                    <a:xfrm>
                      <a:off x="0" y="0"/>
                      <a:ext cx="3985895" cy="5259705"/>
                    </a:xfrm>
                    <a:prstGeom prst="rect">
                      <a:avLst/>
                    </a:prstGeom>
                  </pic:spPr>
                </pic:pic>
              </a:graphicData>
            </a:graphic>
          </wp:anchor>
        </w:drawing>
      </w:r>
    </w:p>
    <w:p/>
    <w:p>
      <w:pPr>
        <w:rPr>
          <w:rFonts w:hint="eastAsia" w:eastAsiaTheme="minorEastAsia"/>
          <w:lang w:eastAsia="zh-CN"/>
        </w:rPr>
      </w:pPr>
    </w:p>
    <w:p/>
    <w:p>
      <w:pPr>
        <w:rPr>
          <w:rFonts w:hint="eastAsia" w:eastAsiaTheme="minorEastAsia"/>
          <w:lang w:eastAsia="zh-CN"/>
        </w:rPr>
      </w:pPr>
    </w:p>
    <w:p/>
    <w:p/>
    <w:p/>
    <w:p/>
    <w:p/>
    <w:p/>
    <w:p/>
    <w:p/>
    <w:p/>
    <w:p/>
    <w:p/>
    <w:p/>
    <w:p/>
    <w:p/>
    <w:p/>
    <w:p/>
    <w:p/>
    <w:p/>
    <w:p/>
    <w:p/>
    <w:p/>
    <w:p>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-4325620</wp:posOffset>
            </wp:positionH>
            <wp:positionV relativeFrom="paragraph">
              <wp:posOffset>418465</wp:posOffset>
            </wp:positionV>
            <wp:extent cx="4325620" cy="4081145"/>
            <wp:effectExtent l="0" t="0" r="8255" b="5080"/>
            <wp:wrapSquare wrapText="bothSides"/>
            <wp:docPr id="7" name="图片 7" descr="a738ca1bf585c29f74318b0e6c8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738ca1bf585c29f74318b0e6c80337"/>
                    <pic:cNvPicPr>
                      <a:picLocks noChangeAspect="1"/>
                    </pic:cNvPicPr>
                  </pic:nvPicPr>
                  <pic:blipFill>
                    <a:blip r:embed="rId14"/>
                    <a:srcRect l="3227" t="8685"/>
                    <a:stretch>
                      <a:fillRect/>
                    </a:stretch>
                  </pic:blipFill>
                  <pic:spPr>
                    <a:xfrm rot="5400000">
                      <a:off x="0" y="0"/>
                      <a:ext cx="4325620" cy="4081145"/>
                    </a:xfrm>
                    <a:prstGeom prst="rect">
                      <a:avLst/>
                    </a:prstGeom>
                  </pic:spPr>
                </pic:pic>
              </a:graphicData>
            </a:graphic>
          </wp:anchor>
        </w:drawing>
      </w:r>
    </w:p>
    <w:p/>
    <w:p/>
    <w:p/>
    <w:p/>
    <w:p/>
    <w:p/>
    <w:p/>
    <w:p/>
    <w:p/>
    <w:p/>
    <w:p/>
    <w:p/>
    <w:p/>
    <w:p/>
    <w:p/>
    <w:p/>
    <w:p>
      <w:pPr>
        <w:rPr>
          <w:rFonts w:hint="eastAsia" w:eastAsiaTheme="minorEastAsia"/>
          <w:lang w:eastAsia="zh-CN"/>
        </w:rPr>
      </w:pPr>
    </w:p>
    <w:p>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-25400</wp:posOffset>
            </wp:positionH>
            <wp:positionV relativeFrom="paragraph">
              <wp:posOffset>77470</wp:posOffset>
            </wp:positionV>
            <wp:extent cx="4199255" cy="4079875"/>
            <wp:effectExtent l="0" t="0" r="9525" b="4445"/>
            <wp:wrapSquare wrapText="bothSides"/>
            <wp:docPr id="8" name="图片 8" descr="3e19aea673460c5d3a6539454b9a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e19aea673460c5d3a6539454b9a02c"/>
                    <pic:cNvPicPr>
                      <a:picLocks noChangeAspect="1"/>
                    </pic:cNvPicPr>
                  </pic:nvPicPr>
                  <pic:blipFill>
                    <a:blip r:embed="rId15"/>
                    <a:srcRect l="3660" r="6995"/>
                    <a:stretch>
                      <a:fillRect/>
                    </a:stretch>
                  </pic:blipFill>
                  <pic:spPr>
                    <a:xfrm rot="5400000">
                      <a:off x="0" y="0"/>
                      <a:ext cx="4199255" cy="4079875"/>
                    </a:xfrm>
                    <a:prstGeom prst="rect">
                      <a:avLst/>
                    </a:prstGeom>
                  </pic:spPr>
                </pic:pic>
              </a:graphicData>
            </a:graphic>
          </wp:anchor>
        </w:drawing>
      </w:r>
    </w:p>
    <w:p/>
    <w:p/>
    <w:p/>
    <w:p/>
    <w:p/>
    <w:p/>
    <w:p/>
    <w:p/>
    <w:p/>
    <w:p/>
    <w:p/>
    <w:p/>
    <w:p/>
    <w:p/>
    <w:p/>
    <w:p/>
    <w:p/>
    <w:p/>
    <w:p/>
    <w:p/>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-680720</wp:posOffset>
            </wp:positionH>
            <wp:positionV relativeFrom="paragraph">
              <wp:posOffset>715010</wp:posOffset>
            </wp:positionV>
            <wp:extent cx="5464810" cy="4102100"/>
            <wp:effectExtent l="0" t="0" r="0" b="8890"/>
            <wp:wrapSquare wrapText="bothSides"/>
            <wp:docPr id="10" name="图片 10" descr="a17194fd9330adf7541014ee6bd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17194fd9330adf7541014ee6bd4930"/>
                    <pic:cNvPicPr>
                      <a:picLocks noChangeAspect="1"/>
                    </pic:cNvPicPr>
                  </pic:nvPicPr>
                  <pic:blipFill>
                    <a:blip r:embed="rId16"/>
                    <a:srcRect b="6871"/>
                    <a:stretch>
                      <a:fillRect/>
                    </a:stretch>
                  </pic:blipFill>
                  <pic:spPr>
                    <a:xfrm rot="5400000">
                      <a:off x="0" y="0"/>
                      <a:ext cx="5464810" cy="4102100"/>
                    </a:xfrm>
                    <a:prstGeom prst="rect">
                      <a:avLst/>
                    </a:prstGeom>
                  </pic:spPr>
                </pic:pic>
              </a:graphicData>
            </a:graphic>
          </wp:anchor>
        </w:drawing>
      </w:r>
    </w:p>
    <w:p/>
    <w:p/>
    <w:p/>
    <w:p/>
    <w:p/>
    <w:p/>
    <w:p/>
    <w:p/>
    <w:p/>
    <w:p/>
    <w:p/>
    <w:p/>
    <w:p/>
    <w:p/>
    <w:p/>
    <w:p/>
    <w:p/>
    <w:p/>
    <w:p/>
    <w:p/>
    <w:p>
      <w:pPr>
        <w:rPr>
          <w:rFonts w:hint="eastAsia" w:eastAsia="宋体"/>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Files\\827746056\\Image\\C2C\\26e5cd6f54821b375008a1f7f2f1b6bc.jpg"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683885" cy="7470140"/>
            <wp:effectExtent l="0" t="0" r="5715" b="1016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7"/>
                    <a:stretch>
                      <a:fillRect/>
                    </a:stretch>
                  </pic:blipFill>
                  <pic:spPr>
                    <a:xfrm>
                      <a:off x="0" y="0"/>
                      <a:ext cx="5683885" cy="7470140"/>
                    </a:xfrm>
                    <a:prstGeom prst="rect">
                      <a:avLst/>
                    </a:prstGeom>
                    <a:noFill/>
                    <a:ln>
                      <a:noFill/>
                    </a:ln>
                  </pic:spPr>
                </pic:pic>
              </a:graphicData>
            </a:graphic>
          </wp:inline>
        </w:drawing>
      </w:r>
      <w:r>
        <w:rPr>
          <w:rFonts w:ascii="宋体" w:hAnsi="宋体" w:eastAsia="宋体" w:cs="宋体"/>
          <w:sz w:val="24"/>
          <w:szCs w:val="24"/>
        </w:rPr>
        <w:fldChar w:fldCharType="end"/>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spacing w:after="240" w:afterAutospacing="0"/>
        <w:rPr>
          <w:rFonts w:ascii="宋体" w:hAnsi="宋体" w:eastAsia="宋体" w:cs="宋体"/>
          <w:sz w:val="24"/>
          <w:szCs w:val="24"/>
        </w:rPr>
      </w:pPr>
      <w:r>
        <w:rPr>
          <w:rFonts w:ascii="宋体" w:hAnsi="宋体" w:eastAsia="宋体" w:cs="宋体"/>
          <w:sz w:val="24"/>
          <w:szCs w:val="24"/>
        </w:rPr>
        <w:br w:type="textWrapping"/>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Files\\827746056\\Image\\C2C\\3ed545b2f5713cbba8e9b1fd92aeb2b9.jpg"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655945" cy="8127365"/>
            <wp:effectExtent l="0" t="0" r="8255" b="63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8"/>
                    <a:stretch>
                      <a:fillRect/>
                    </a:stretch>
                  </pic:blipFill>
                  <pic:spPr>
                    <a:xfrm>
                      <a:off x="0" y="0"/>
                      <a:ext cx="5655945" cy="8127365"/>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Files\\827746056\\Image\\C2C\\bb2d984b9d4c819daabe6537ef4e241f.jpg"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194300" cy="7315200"/>
            <wp:effectExtent l="0" t="0" r="0" b="0"/>
            <wp:docPr id="1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7"/>
                    <pic:cNvPicPr>
                      <a:picLocks noChangeAspect="1"/>
                    </pic:cNvPicPr>
                  </pic:nvPicPr>
                  <pic:blipFill>
                    <a:blip r:embed="rId19"/>
                    <a:stretch>
                      <a:fillRect/>
                    </a:stretch>
                  </pic:blipFill>
                  <pic:spPr>
                    <a:xfrm>
                      <a:off x="0" y="0"/>
                      <a:ext cx="5194300" cy="731520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Files\\827746056\\Image\\C2C\\a4bf0d91c1fc904d5c707575646030f4.jpg"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097780" cy="7386955"/>
            <wp:effectExtent l="0" t="0" r="7620" b="4445"/>
            <wp:docPr id="1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8"/>
                    <pic:cNvPicPr>
                      <a:picLocks noChangeAspect="1"/>
                    </pic:cNvPicPr>
                  </pic:nvPicPr>
                  <pic:blipFill>
                    <a:blip r:embed="rId20"/>
                    <a:stretch>
                      <a:fillRect/>
                    </a:stretch>
                  </pic:blipFill>
                  <pic:spPr>
                    <a:xfrm>
                      <a:off x="0" y="0"/>
                      <a:ext cx="5097780" cy="7386955"/>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br w:type="textWrapping"/>
      </w:r>
    </w:p>
    <w:p>
      <w:pPr>
        <w:spacing w:after="240" w:afterAutospacing="0"/>
        <w:rPr>
          <w:rFonts w:ascii="宋体" w:hAnsi="宋体" w:eastAsia="宋体" w:cs="宋体"/>
          <w:sz w:val="24"/>
          <w:szCs w:val="24"/>
        </w:rPr>
      </w:pPr>
    </w:p>
    <w:p>
      <w:pPr>
        <w:spacing w:after="240" w:afterAutospacing="0"/>
        <w:rPr>
          <w:rFonts w:ascii="宋体" w:hAnsi="宋体" w:eastAsia="宋体" w:cs="宋体"/>
          <w:sz w:val="24"/>
          <w:szCs w:val="24"/>
        </w:rPr>
      </w:pPr>
    </w:p>
    <w:p/>
    <w:p/>
    <w:p/>
    <w:p>
      <w:pPr>
        <w:rPr>
          <w:rFonts w:hint="eastAsia" w:eastAsiaTheme="minorEastAsia"/>
          <w:lang w:eastAsia="zh-CN"/>
        </w:rPr>
      </w:pPr>
      <w:r>
        <w:rPr>
          <w:rFonts w:hint="eastAsia" w:eastAsiaTheme="minorEastAsia"/>
          <w:lang w:eastAsia="zh-CN"/>
        </w:rPr>
        <w:drawing>
          <wp:inline distT="0" distB="0" distL="114300" distR="114300">
            <wp:extent cx="5262245" cy="7012940"/>
            <wp:effectExtent l="0" t="0" r="8255" b="10160"/>
            <wp:docPr id="16" name="图片 16" descr="4c68b2b1b2ec9f911c73ca7fb74d3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68b2b1b2ec9f911c73ca7fb74d36ac"/>
                    <pic:cNvPicPr>
                      <a:picLocks noChangeAspect="1"/>
                    </pic:cNvPicPr>
                  </pic:nvPicPr>
                  <pic:blipFill>
                    <a:blip r:embed="rId21"/>
                    <a:stretch>
                      <a:fillRect/>
                    </a:stretch>
                  </pic:blipFill>
                  <pic:spPr>
                    <a:xfrm>
                      <a:off x="0" y="0"/>
                      <a:ext cx="5262245" cy="70129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2245" cy="7012940"/>
            <wp:effectExtent l="0" t="0" r="8255" b="10160"/>
            <wp:docPr id="17" name="图片 17" descr="bab1569d3e99d74d1e41934c3e94c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ab1569d3e99d74d1e41934c3e94ceb7"/>
                    <pic:cNvPicPr>
                      <a:picLocks noChangeAspect="1"/>
                    </pic:cNvPicPr>
                  </pic:nvPicPr>
                  <pic:blipFill>
                    <a:blip r:embed="rId22"/>
                    <a:stretch>
                      <a:fillRect/>
                    </a:stretch>
                  </pic:blipFill>
                  <pic:spPr>
                    <a:xfrm>
                      <a:off x="0" y="0"/>
                      <a:ext cx="5262245" cy="70129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2245" cy="7012940"/>
            <wp:effectExtent l="0" t="0" r="8255" b="10160"/>
            <wp:docPr id="18" name="图片 18" descr="4c2bd0a9cc64f1b84df77006032d0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c2bd0a9cc64f1b84df77006032d0eb6"/>
                    <pic:cNvPicPr>
                      <a:picLocks noChangeAspect="1"/>
                    </pic:cNvPicPr>
                  </pic:nvPicPr>
                  <pic:blipFill>
                    <a:blip r:embed="rId23"/>
                    <a:stretch>
                      <a:fillRect/>
                    </a:stretch>
                  </pic:blipFill>
                  <pic:spPr>
                    <a:xfrm>
                      <a:off x="0" y="0"/>
                      <a:ext cx="5262245" cy="70129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59070" cy="6497955"/>
            <wp:effectExtent l="0" t="0" r="11430" b="4445"/>
            <wp:docPr id="11" name="图片 11" descr="dae16e417981c9cd75586b9302518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ae16e417981c9cd75586b9302518f26"/>
                    <pic:cNvPicPr>
                      <a:picLocks noChangeAspect="1"/>
                    </pic:cNvPicPr>
                  </pic:nvPicPr>
                  <pic:blipFill>
                    <a:blip r:embed="rId24"/>
                    <a:stretch>
                      <a:fillRect/>
                    </a:stretch>
                  </pic:blipFill>
                  <pic:spPr>
                    <a:xfrm>
                      <a:off x="0" y="0"/>
                      <a:ext cx="5259070" cy="649795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59070" cy="6604000"/>
            <wp:effectExtent l="0" t="0" r="11430" b="0"/>
            <wp:docPr id="19" name="图片 19" descr="add5e9e2b5ab193be1fdaf480b671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dd5e9e2b5ab193be1fdaf480b671e8c"/>
                    <pic:cNvPicPr>
                      <a:picLocks noChangeAspect="1"/>
                    </pic:cNvPicPr>
                  </pic:nvPicPr>
                  <pic:blipFill>
                    <a:blip r:embed="rId25"/>
                    <a:stretch>
                      <a:fillRect/>
                    </a:stretch>
                  </pic:blipFill>
                  <pic:spPr>
                    <a:xfrm>
                      <a:off x="0" y="0"/>
                      <a:ext cx="5259070" cy="6604000"/>
                    </a:xfrm>
                    <a:prstGeom prst="rect">
                      <a:avLst/>
                    </a:prstGeom>
                  </pic:spPr>
                </pic:pic>
              </a:graphicData>
            </a:graphic>
          </wp:inline>
        </w:drawing>
      </w:r>
    </w:p>
    <w:p>
      <w:pPr>
        <w:rPr>
          <w:rFonts w:hint="eastAsia" w:eastAsiaTheme="minorEastAsia"/>
          <w:lang w:eastAsia="zh-CN"/>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4791075" cy="65055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6"/>
                    <a:stretch>
                      <a:fillRect/>
                    </a:stretch>
                  </pic:blipFill>
                  <pic:spPr>
                    <a:xfrm>
                      <a:off x="0" y="0"/>
                      <a:ext cx="4791075" cy="6505575"/>
                    </a:xfrm>
                    <a:prstGeom prst="rect">
                      <a:avLst/>
                    </a:prstGeom>
                    <a:noFill/>
                    <a:ln w="9525">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878205</wp:posOffset>
                </wp:positionH>
                <wp:positionV relativeFrom="paragraph">
                  <wp:posOffset>2315210</wp:posOffset>
                </wp:positionV>
                <wp:extent cx="3810000" cy="6350"/>
                <wp:effectExtent l="0" t="6350" r="0" b="6350"/>
                <wp:wrapNone/>
                <wp:docPr id="21" name="直接连接符 21"/>
                <wp:cNvGraphicFramePr/>
                <a:graphic xmlns:a="http://schemas.openxmlformats.org/drawingml/2006/main">
                  <a:graphicData uri="http://schemas.microsoft.com/office/word/2010/wordprocessingShape">
                    <wps:wsp>
                      <wps:cNvCnPr/>
                      <wps:spPr>
                        <a:xfrm flipV="1">
                          <a:off x="2021205" y="3229610"/>
                          <a:ext cx="3810000" cy="63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flip:y;margin-left:69.15pt;margin-top:182.3pt;height:0.5pt;width:300pt;z-index:251665408;mso-width-relative:page;mso-height-relative:page;" filled="f" stroked="t" coordsize="21600,21600" o:gfxdata="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bTavXAAAACwEAAA8AAAAAAAAAAQAgAAAAIgAAAGRycy9kb3du&#10;cmV2LnhtbFBLAQIUABQAAAAIAIdO4kD0FhK7AAIAAM0DAAAOAAAAAAAAAAEAIAAAACYBAABkcnMv&#10;ZTJvRG9jLnhtbFBLBQYAAAAABgAGAFkBAACYBQAAAAA=&#10;">
                <v:fill on="f" focussize="0,0"/>
                <v:stroke weight="1pt" color="#70AD47 [3209]" miterlimit="8" joinstyle="miter"/>
                <v:imagedata o:title=""/>
                <o:lock v:ext="edit" aspectratio="f"/>
              </v:line>
            </w:pict>
          </mc:Fallback>
        </mc:AlternateContent>
      </w:r>
      <w:r>
        <w:rPr>
          <w:rFonts w:ascii="宋体" w:hAnsi="宋体" w:eastAsia="宋体" w:cs="宋体"/>
          <w:sz w:val="24"/>
          <w:szCs w:val="24"/>
        </w:rPr>
        <w:drawing>
          <wp:inline distT="0" distB="0" distL="114300" distR="114300">
            <wp:extent cx="5105400" cy="6696075"/>
            <wp:effectExtent l="0" t="0" r="0" b="952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7"/>
                    <a:stretch>
                      <a:fillRect/>
                    </a:stretch>
                  </pic:blipFill>
                  <pic:spPr>
                    <a:xfrm>
                      <a:off x="0" y="0"/>
                      <a:ext cx="5105400" cy="6696075"/>
                    </a:xfrm>
                    <a:prstGeom prst="rect">
                      <a:avLst/>
                    </a:prstGeom>
                    <a:noFill/>
                    <a:ln w="9525">
                      <a:noFill/>
                    </a:ln>
                  </pic:spPr>
                </pic:pic>
              </a:graphicData>
            </a:graphic>
          </wp:inline>
        </w:drawing>
      </w:r>
    </w:p>
    <w:p/>
    <w:p/>
    <w:p/>
    <w:p/>
    <w:p/>
    <w:p/>
    <w:p/>
    <w:p/>
    <w:p/>
    <w:p/>
    <w:p>
      <w:pPr>
        <w:jc w:val="center"/>
        <w:rPr>
          <w:rFonts w:hint="eastAsia" w:ascii="方正小标宋简体" w:eastAsia="方正小标宋简体"/>
          <w:sz w:val="48"/>
          <w:szCs w:val="48"/>
        </w:rPr>
      </w:pPr>
      <w:r>
        <w:rPr>
          <w:rFonts w:hint="eastAsia" w:ascii="方正小标宋简体" w:eastAsia="方正小标宋简体"/>
          <w:sz w:val="48"/>
          <w:szCs w:val="48"/>
        </w:rPr>
        <w:t>常州市</w:t>
      </w:r>
      <w:r>
        <w:rPr>
          <w:rFonts w:hint="eastAsia" w:ascii="方正小标宋简体" w:eastAsia="方正小标宋简体"/>
          <w:sz w:val="48"/>
          <w:szCs w:val="48"/>
          <w:lang w:eastAsia="zh-CN"/>
        </w:rPr>
        <w:t>新北区</w:t>
      </w:r>
      <w:r>
        <w:rPr>
          <w:rFonts w:hint="eastAsia" w:ascii="方正小标宋简体" w:eastAsia="方正小标宋简体"/>
          <w:sz w:val="48"/>
          <w:szCs w:val="48"/>
        </w:rPr>
        <w:t>“十</w:t>
      </w:r>
      <w:r>
        <w:rPr>
          <w:rFonts w:hint="eastAsia" w:ascii="方正小标宋简体" w:eastAsia="方正小标宋简体"/>
          <w:sz w:val="48"/>
          <w:szCs w:val="48"/>
          <w:lang w:eastAsia="zh-CN"/>
        </w:rPr>
        <w:t>四</w:t>
      </w:r>
      <w:r>
        <w:rPr>
          <w:rFonts w:hint="eastAsia" w:ascii="方正小标宋简体" w:eastAsia="方正小标宋简体"/>
          <w:sz w:val="48"/>
          <w:szCs w:val="48"/>
        </w:rPr>
        <w:t>五”</w:t>
      </w:r>
      <w:r>
        <w:rPr>
          <w:rFonts w:hint="eastAsia" w:ascii="方正小标宋简体" w:eastAsia="方正小标宋简体"/>
          <w:sz w:val="48"/>
          <w:szCs w:val="48"/>
          <w:lang w:eastAsia="zh-CN"/>
        </w:rPr>
        <w:t>规划</w:t>
      </w:r>
      <w:r>
        <w:rPr>
          <w:rFonts w:hint="eastAsia" w:ascii="方正小标宋简体" w:eastAsia="方正小标宋简体"/>
          <w:sz w:val="48"/>
          <w:szCs w:val="48"/>
        </w:rPr>
        <w:t>课题</w:t>
      </w:r>
    </w:p>
    <w:p>
      <w:pPr>
        <w:jc w:val="center"/>
        <w:rPr>
          <w:rFonts w:hint="eastAsia" w:ascii="方正小标宋简体" w:eastAsia="方正小标宋简体"/>
          <w:sz w:val="48"/>
          <w:szCs w:val="48"/>
        </w:rPr>
      </w:pPr>
      <w:r>
        <w:rPr>
          <w:rFonts w:hint="eastAsia" w:ascii="方正小标宋简体" w:eastAsia="方正小标宋简体"/>
          <w:sz w:val="48"/>
          <w:szCs w:val="48"/>
        </w:rPr>
        <w:t>结题鉴定书</w:t>
      </w:r>
    </w:p>
    <w:p>
      <w:pPr>
        <w:jc w:val="center"/>
        <w:rPr>
          <w:rFonts w:hint="eastAsia" w:eastAsia="黑体"/>
        </w:rPr>
      </w:pPr>
    </w:p>
    <w:p>
      <w:pPr>
        <w:jc w:val="center"/>
        <w:rPr>
          <w:rFonts w:hint="eastAsia" w:eastAsia="黑体"/>
        </w:rPr>
      </w:pPr>
    </w:p>
    <w:p>
      <w:pPr>
        <w:jc w:val="center"/>
        <w:rPr>
          <w:rFonts w:hint="eastAsia" w:eastAsia="黑体"/>
          <w:sz w:val="28"/>
        </w:rPr>
      </w:pPr>
    </w:p>
    <w:p>
      <w:pPr>
        <w:jc w:val="center"/>
        <w:rPr>
          <w:rFonts w:hint="eastAsia" w:eastAsia="黑体"/>
          <w:sz w:val="28"/>
        </w:rPr>
      </w:pPr>
    </w:p>
    <w:p>
      <w:pPr>
        <w:spacing w:line="360" w:lineRule="exact"/>
        <w:ind w:firstLine="964" w:firstLineChars="300"/>
        <w:outlineLvl w:val="0"/>
        <w:rPr>
          <w:rFonts w:hint="eastAsia" w:ascii="黑体" w:hAnsi="宋体" w:eastAsia="黑体"/>
          <w:b/>
          <w:sz w:val="30"/>
          <w:u w:val="single"/>
        </w:rPr>
      </w:pPr>
      <w:r>
        <w:rPr>
          <w:rFonts w:hint="eastAsia" w:eastAsia="仿宋_GB2312"/>
          <w:b/>
          <w:sz w:val="32"/>
        </w:rPr>
        <w:t>课</w:t>
      </w:r>
      <w:r>
        <w:rPr>
          <w:rFonts w:eastAsia="仿宋_GB2312"/>
          <w:b/>
          <w:sz w:val="32"/>
        </w:rPr>
        <w:t xml:space="preserve"> </w:t>
      </w:r>
      <w:r>
        <w:rPr>
          <w:rFonts w:hint="eastAsia" w:eastAsia="仿宋_GB2312"/>
          <w:b/>
          <w:sz w:val="32"/>
        </w:rPr>
        <w:t>题</w:t>
      </w:r>
      <w:r>
        <w:rPr>
          <w:rFonts w:eastAsia="仿宋_GB2312"/>
          <w:b/>
          <w:sz w:val="32"/>
        </w:rPr>
        <w:t xml:space="preserve"> </w:t>
      </w:r>
      <w:r>
        <w:rPr>
          <w:rFonts w:hint="eastAsia" w:eastAsia="仿宋_GB2312"/>
          <w:b/>
          <w:sz w:val="32"/>
        </w:rPr>
        <w:t>名</w:t>
      </w:r>
      <w:r>
        <w:rPr>
          <w:rFonts w:eastAsia="仿宋_GB2312"/>
          <w:b/>
          <w:sz w:val="32"/>
        </w:rPr>
        <w:t xml:space="preserve"> </w:t>
      </w:r>
      <w:r>
        <w:rPr>
          <w:rFonts w:hint="eastAsia" w:eastAsia="仿宋_GB2312"/>
          <w:b/>
          <w:sz w:val="32"/>
        </w:rPr>
        <w:t>称</w:t>
      </w:r>
      <w:r>
        <w:rPr>
          <w:rFonts w:hint="eastAsia" w:ascii="黑体" w:hAnsi="宋体" w:eastAsia="黑体"/>
          <w:sz w:val="30"/>
          <w:u w:val="single"/>
        </w:rPr>
        <w:tab/>
      </w:r>
      <w:r>
        <w:rPr>
          <w:rFonts w:hint="eastAsia" w:ascii="宋体" w:hAnsi="宋体"/>
          <w:bCs/>
          <w:spacing w:val="0"/>
          <w:sz w:val="24"/>
          <w:szCs w:val="24"/>
          <w:u w:val="single"/>
          <w:lang w:eastAsia="zh-CN"/>
        </w:rPr>
        <w:t>依托</w:t>
      </w:r>
      <w:r>
        <w:rPr>
          <w:rFonts w:hint="eastAsia" w:ascii="宋体" w:hAnsi="宋体"/>
          <w:bCs/>
          <w:spacing w:val="0"/>
          <w:sz w:val="24"/>
          <w:szCs w:val="24"/>
          <w:u w:val="single"/>
        </w:rPr>
        <w:t>本土</w:t>
      </w:r>
      <w:r>
        <w:rPr>
          <w:rFonts w:hint="eastAsia" w:ascii="宋体" w:hAnsi="宋体"/>
          <w:bCs/>
          <w:spacing w:val="0"/>
          <w:sz w:val="24"/>
          <w:szCs w:val="24"/>
          <w:u w:val="single"/>
          <w:lang w:eastAsia="zh-CN"/>
        </w:rPr>
        <w:t>红色</w:t>
      </w:r>
      <w:r>
        <w:rPr>
          <w:rFonts w:hint="eastAsia" w:ascii="宋体" w:hAnsi="宋体"/>
          <w:bCs/>
          <w:spacing w:val="0"/>
          <w:sz w:val="24"/>
          <w:szCs w:val="24"/>
          <w:u w:val="single"/>
        </w:rPr>
        <w:t>资源</w:t>
      </w:r>
      <w:r>
        <w:rPr>
          <w:rFonts w:hint="eastAsia" w:ascii="宋体" w:hAnsi="宋体"/>
          <w:bCs/>
          <w:spacing w:val="0"/>
          <w:sz w:val="24"/>
          <w:szCs w:val="24"/>
          <w:u w:val="single"/>
          <w:lang w:eastAsia="zh-CN"/>
        </w:rPr>
        <w:t>构建学校</w:t>
      </w:r>
      <w:r>
        <w:rPr>
          <w:rFonts w:hint="eastAsia" w:ascii="宋体" w:hAnsi="宋体"/>
          <w:bCs/>
          <w:spacing w:val="0"/>
          <w:sz w:val="24"/>
          <w:szCs w:val="24"/>
          <w:u w:val="single"/>
        </w:rPr>
        <w:t>德育</w:t>
      </w:r>
      <w:r>
        <w:rPr>
          <w:rFonts w:hint="eastAsia" w:ascii="宋体" w:hAnsi="宋体"/>
          <w:bCs/>
          <w:spacing w:val="0"/>
          <w:sz w:val="24"/>
          <w:szCs w:val="24"/>
          <w:u w:val="single"/>
          <w:lang w:eastAsia="zh-CN"/>
        </w:rPr>
        <w:t>体系</w:t>
      </w:r>
      <w:r>
        <w:rPr>
          <w:rFonts w:hint="eastAsia" w:ascii="宋体" w:hAnsi="宋体"/>
          <w:bCs/>
          <w:spacing w:val="0"/>
          <w:sz w:val="24"/>
          <w:szCs w:val="24"/>
          <w:u w:val="single"/>
        </w:rPr>
        <w:t>的</w:t>
      </w:r>
      <w:r>
        <w:rPr>
          <w:rFonts w:hint="eastAsia" w:ascii="宋体" w:hAnsi="宋体"/>
          <w:bCs/>
          <w:spacing w:val="0"/>
          <w:sz w:val="24"/>
          <w:szCs w:val="24"/>
          <w:u w:val="single"/>
          <w:lang w:eastAsia="zh-CN"/>
        </w:rPr>
        <w:t>实践</w:t>
      </w:r>
      <w:r>
        <w:rPr>
          <w:rFonts w:hint="eastAsia" w:ascii="宋体" w:hAnsi="宋体"/>
          <w:bCs/>
          <w:spacing w:val="0"/>
          <w:sz w:val="24"/>
          <w:szCs w:val="24"/>
          <w:u w:val="single"/>
        </w:rPr>
        <w:t>研究</w:t>
      </w:r>
    </w:p>
    <w:p>
      <w:pPr>
        <w:spacing w:line="360" w:lineRule="exact"/>
        <w:ind w:firstLine="1280" w:firstLineChars="400"/>
        <w:outlineLvl w:val="0"/>
        <w:rPr>
          <w:rFonts w:hint="eastAsia" w:eastAsia="仿宋_GB2312"/>
          <w:sz w:val="32"/>
        </w:rPr>
      </w:pPr>
    </w:p>
    <w:p>
      <w:pPr>
        <w:spacing w:line="360" w:lineRule="exact"/>
        <w:ind w:left="840" w:firstLine="420"/>
        <w:outlineLvl w:val="0"/>
        <w:rPr>
          <w:rFonts w:hint="eastAsia" w:eastAsia="仿宋_GB2312"/>
          <w:b/>
          <w:spacing w:val="35"/>
          <w:kern w:val="0"/>
          <w:sz w:val="32"/>
          <w:fitText w:val="2240" w:id="1132635137"/>
        </w:rPr>
      </w:pPr>
    </w:p>
    <w:p>
      <w:pPr>
        <w:spacing w:line="360" w:lineRule="exact"/>
        <w:ind w:firstLine="1444" w:firstLineChars="300"/>
        <w:outlineLvl w:val="0"/>
        <w:rPr>
          <w:rFonts w:hint="eastAsia" w:eastAsia="仿宋_GB2312"/>
          <w:b/>
          <w:sz w:val="32"/>
          <w:u w:val="single"/>
        </w:rPr>
      </w:pPr>
      <w:r>
        <w:rPr>
          <w:rFonts w:hint="eastAsia" w:eastAsia="仿宋_GB2312"/>
          <w:b/>
          <w:spacing w:val="80"/>
          <w:kern w:val="0"/>
          <w:sz w:val="32"/>
          <w:fitText w:val="2240" w:id="948064823"/>
        </w:rPr>
        <w:t>课题主持</w:t>
      </w:r>
      <w:r>
        <w:rPr>
          <w:rFonts w:hint="eastAsia" w:eastAsia="仿宋_GB2312"/>
          <w:b/>
          <w:spacing w:val="0"/>
          <w:kern w:val="0"/>
          <w:sz w:val="32"/>
          <w:fitText w:val="2240" w:id="948064823"/>
        </w:rPr>
        <w:t>人</w:t>
      </w:r>
      <w:r>
        <w:rPr>
          <w:rFonts w:hint="eastAsia" w:eastAsia="仿宋_GB2312"/>
          <w:sz w:val="32"/>
          <w:u w:val="single"/>
        </w:rPr>
        <w:tab/>
      </w:r>
      <w:r>
        <w:rPr>
          <w:rFonts w:hint="eastAsia" w:eastAsia="仿宋_GB2312"/>
          <w:sz w:val="32"/>
          <w:u w:val="single"/>
        </w:rPr>
        <w:tab/>
      </w:r>
      <w:r>
        <w:rPr>
          <w:rFonts w:hint="eastAsia" w:eastAsia="仿宋_GB2312"/>
          <w:sz w:val="32"/>
          <w:u w:val="single"/>
          <w:lang w:val="en-US" w:eastAsia="zh-CN"/>
        </w:rPr>
        <w:t xml:space="preserve">    </w:t>
      </w:r>
      <w:r>
        <w:rPr>
          <w:rFonts w:hint="eastAsia" w:eastAsia="仿宋_GB2312"/>
          <w:sz w:val="32"/>
          <w:u w:val="single"/>
          <w:lang w:eastAsia="zh-CN"/>
        </w:rPr>
        <w:t>周颖、蒋燕娟</w:t>
      </w:r>
      <w:r>
        <w:rPr>
          <w:rFonts w:hint="eastAsia" w:eastAsia="仿宋_GB2312"/>
          <w:sz w:val="32"/>
          <w:u w:val="single"/>
        </w:rPr>
        <w:tab/>
      </w:r>
      <w:r>
        <w:rPr>
          <w:rFonts w:hint="eastAsia" w:eastAsia="仿宋_GB2312"/>
          <w:sz w:val="32"/>
          <w:u w:val="single"/>
        </w:rPr>
        <w:tab/>
      </w:r>
      <w:r>
        <w:rPr>
          <w:rFonts w:hint="eastAsia" w:eastAsia="仿宋_GB2312"/>
          <w:sz w:val="32"/>
          <w:u w:val="single"/>
        </w:rPr>
        <w:tab/>
      </w:r>
      <w:r>
        <w:rPr>
          <w:rFonts w:hint="eastAsia" w:eastAsia="仿宋_GB2312"/>
          <w:sz w:val="32"/>
          <w:u w:val="single"/>
        </w:rPr>
        <w:tab/>
      </w:r>
    </w:p>
    <w:p>
      <w:pPr>
        <w:spacing w:line="360" w:lineRule="exact"/>
        <w:jc w:val="center"/>
        <w:rPr>
          <w:rFonts w:eastAsia="仿宋_GB2312"/>
        </w:rPr>
      </w:pPr>
    </w:p>
    <w:p>
      <w:pPr>
        <w:spacing w:line="360" w:lineRule="exact"/>
        <w:ind w:firstLine="1285" w:firstLineChars="400"/>
        <w:outlineLvl w:val="0"/>
        <w:rPr>
          <w:rFonts w:hint="eastAsia" w:eastAsia="仿宋_GB2312"/>
          <w:b/>
          <w:sz w:val="32"/>
        </w:rPr>
      </w:pPr>
    </w:p>
    <w:p>
      <w:pPr>
        <w:spacing w:line="360" w:lineRule="exact"/>
        <w:ind w:firstLine="964" w:firstLineChars="300"/>
        <w:outlineLvl w:val="0"/>
        <w:rPr>
          <w:rFonts w:hint="default" w:eastAsia="仿宋_GB2312"/>
          <w:b/>
          <w:sz w:val="32"/>
          <w:u w:val="single"/>
          <w:lang w:val="en-US" w:eastAsia="zh-CN"/>
        </w:rPr>
      </w:pPr>
      <w:r>
        <w:rPr>
          <w:rFonts w:hint="eastAsia" w:eastAsia="仿宋_GB2312"/>
          <w:b/>
          <w:sz w:val="32"/>
        </w:rPr>
        <w:t>主持人所在单位</w:t>
      </w:r>
      <w:r>
        <w:rPr>
          <w:rFonts w:hint="eastAsia" w:eastAsia="仿宋_GB2312"/>
          <w:sz w:val="32"/>
          <w:u w:val="single"/>
        </w:rPr>
        <w:tab/>
      </w:r>
      <w:r>
        <w:rPr>
          <w:rFonts w:hint="eastAsia" w:eastAsia="仿宋_GB2312"/>
          <w:sz w:val="32"/>
          <w:u w:val="single"/>
          <w:lang w:val="en-US" w:eastAsia="zh-CN"/>
        </w:rPr>
        <w:t xml:space="preserve">  </w:t>
      </w:r>
      <w:r>
        <w:rPr>
          <w:rFonts w:hint="eastAsia" w:eastAsia="仿宋_GB2312"/>
          <w:sz w:val="32"/>
          <w:u w:val="single"/>
          <w:lang w:eastAsia="zh-CN"/>
        </w:rPr>
        <w:t>常州市新北区小河中心小学</w:t>
      </w:r>
      <w:r>
        <w:rPr>
          <w:rFonts w:hint="eastAsia" w:eastAsia="仿宋_GB2312"/>
          <w:sz w:val="32"/>
          <w:u w:val="single"/>
          <w:lang w:val="en-US" w:eastAsia="zh-CN"/>
        </w:rPr>
        <w:t xml:space="preserve">   </w:t>
      </w:r>
    </w:p>
    <w:p>
      <w:pPr>
        <w:spacing w:line="360" w:lineRule="exact"/>
        <w:outlineLvl w:val="0"/>
        <w:rPr>
          <w:rFonts w:hint="eastAsia" w:eastAsia="仿宋_GB2312"/>
          <w:kern w:val="0"/>
          <w:sz w:val="32"/>
        </w:rPr>
      </w:pPr>
    </w:p>
    <w:p>
      <w:pPr>
        <w:spacing w:line="360" w:lineRule="exact"/>
        <w:ind w:left="840" w:firstLine="420"/>
        <w:outlineLvl w:val="0"/>
        <w:rPr>
          <w:rFonts w:hint="eastAsia" w:eastAsia="仿宋_GB2312"/>
          <w:b/>
          <w:spacing w:val="32"/>
          <w:kern w:val="0"/>
          <w:sz w:val="32"/>
          <w:fitText w:val="2240" w:id="1132636416"/>
        </w:rPr>
      </w:pPr>
    </w:p>
    <w:p>
      <w:pPr>
        <w:spacing w:line="360" w:lineRule="exact"/>
        <w:ind w:firstLine="1156" w:firstLineChars="300"/>
        <w:outlineLvl w:val="0"/>
        <w:rPr>
          <w:rFonts w:hint="eastAsia" w:eastAsia="仿宋_GB2312"/>
          <w:b/>
          <w:sz w:val="32"/>
        </w:rPr>
      </w:pPr>
      <w:r>
        <w:rPr>
          <w:rFonts w:hint="eastAsia" w:eastAsia="仿宋_GB2312"/>
          <w:b/>
          <w:spacing w:val="32"/>
          <w:kern w:val="0"/>
          <w:sz w:val="32"/>
          <w:fitText w:val="2240" w:id="1644257361"/>
        </w:rPr>
        <w:t>组织鉴定单</w:t>
      </w:r>
      <w:r>
        <w:rPr>
          <w:rFonts w:hint="eastAsia" w:eastAsia="仿宋_GB2312"/>
          <w:b/>
          <w:spacing w:val="0"/>
          <w:kern w:val="0"/>
          <w:sz w:val="32"/>
          <w:fitText w:val="2240" w:id="1644257361"/>
        </w:rPr>
        <w:t>位</w:t>
      </w:r>
      <w:r>
        <w:rPr>
          <w:rFonts w:hint="eastAsia" w:eastAsia="仿宋_GB2312"/>
          <w:sz w:val="32"/>
          <w:u w:val="single"/>
        </w:rPr>
        <w:tab/>
      </w:r>
      <w:r>
        <w:rPr>
          <w:rFonts w:hint="eastAsia" w:eastAsia="仿宋_GB2312"/>
          <w:sz w:val="32"/>
          <w:u w:val="single"/>
        </w:rPr>
        <w:t>常州市新北区教师发展中心</w:t>
      </w:r>
      <w:r>
        <w:rPr>
          <w:rFonts w:hint="eastAsia" w:eastAsia="仿宋_GB2312"/>
          <w:sz w:val="32"/>
          <w:u w:val="single"/>
        </w:rPr>
        <w:tab/>
      </w:r>
    </w:p>
    <w:p>
      <w:pPr>
        <w:spacing w:line="360" w:lineRule="exact"/>
        <w:jc w:val="center"/>
        <w:rPr>
          <w:rFonts w:hint="eastAsia" w:eastAsia="仿宋_GB2312"/>
        </w:rPr>
      </w:pPr>
    </w:p>
    <w:p>
      <w:pPr>
        <w:spacing w:line="360" w:lineRule="exact"/>
        <w:ind w:firstLine="1285" w:firstLineChars="400"/>
        <w:outlineLvl w:val="0"/>
        <w:rPr>
          <w:rFonts w:hint="eastAsia" w:eastAsia="仿宋_GB2312"/>
          <w:b/>
          <w:sz w:val="32"/>
        </w:rPr>
      </w:pPr>
    </w:p>
    <w:p>
      <w:pPr>
        <w:spacing w:line="360" w:lineRule="exact"/>
        <w:ind w:firstLine="1285" w:firstLineChars="400"/>
        <w:outlineLvl w:val="0"/>
        <w:rPr>
          <w:rFonts w:hint="eastAsia" w:eastAsia="仿宋_GB2312"/>
          <w:b/>
          <w:sz w:val="32"/>
          <w:u w:val="single"/>
        </w:rPr>
      </w:pPr>
      <w:r>
        <w:rPr>
          <w:rFonts w:hint="eastAsia" w:eastAsia="仿宋_GB2312"/>
          <w:b/>
          <w:sz w:val="32"/>
        </w:rPr>
        <w:t>填</w:t>
      </w:r>
      <w:r>
        <w:rPr>
          <w:rFonts w:eastAsia="仿宋_GB2312"/>
          <w:b/>
          <w:sz w:val="32"/>
        </w:rPr>
        <w:t xml:space="preserve">  </w:t>
      </w:r>
      <w:r>
        <w:rPr>
          <w:rFonts w:hint="eastAsia" w:eastAsia="仿宋_GB2312"/>
          <w:b/>
          <w:sz w:val="32"/>
        </w:rPr>
        <w:t>表</w:t>
      </w:r>
      <w:r>
        <w:rPr>
          <w:rFonts w:eastAsia="仿宋_GB2312"/>
          <w:b/>
          <w:sz w:val="32"/>
        </w:rPr>
        <w:t xml:space="preserve">  </w:t>
      </w:r>
      <w:r>
        <w:rPr>
          <w:rFonts w:hint="eastAsia" w:eastAsia="仿宋_GB2312"/>
          <w:b/>
          <w:sz w:val="32"/>
        </w:rPr>
        <w:t>日</w:t>
      </w:r>
      <w:r>
        <w:rPr>
          <w:rFonts w:eastAsia="仿宋_GB2312"/>
          <w:b/>
          <w:sz w:val="32"/>
        </w:rPr>
        <w:t xml:space="preserve">  </w:t>
      </w:r>
      <w:r>
        <w:rPr>
          <w:rFonts w:hint="eastAsia" w:eastAsia="仿宋_GB2312"/>
          <w:b/>
          <w:sz w:val="32"/>
        </w:rPr>
        <w:t>期</w:t>
      </w:r>
      <w:r>
        <w:rPr>
          <w:rFonts w:hint="eastAsia" w:eastAsia="仿宋_GB2312"/>
          <w:sz w:val="32"/>
          <w:u w:val="single"/>
        </w:rPr>
        <w:tab/>
      </w:r>
      <w:r>
        <w:rPr>
          <w:rFonts w:hint="eastAsia" w:eastAsia="仿宋_GB2312"/>
          <w:sz w:val="32"/>
          <w:u w:val="single"/>
        </w:rPr>
        <w:tab/>
      </w:r>
      <w:r>
        <w:rPr>
          <w:rFonts w:hint="eastAsia" w:eastAsia="仿宋_GB2312"/>
          <w:sz w:val="32"/>
          <w:u w:val="single"/>
        </w:rPr>
        <w:tab/>
      </w:r>
      <w:r>
        <w:rPr>
          <w:rFonts w:hint="eastAsia" w:eastAsia="仿宋_GB2312"/>
          <w:sz w:val="32"/>
          <w:u w:val="single"/>
          <w:lang w:val="en-US" w:eastAsia="zh-CN"/>
        </w:rPr>
        <w:t xml:space="preserve"> 2024. 5. 23</w:t>
      </w:r>
      <w:r>
        <w:rPr>
          <w:rFonts w:hint="eastAsia" w:eastAsia="仿宋_GB2312"/>
          <w:sz w:val="32"/>
          <w:u w:val="single"/>
        </w:rPr>
        <w:tab/>
      </w:r>
      <w:r>
        <w:rPr>
          <w:rFonts w:hint="eastAsia" w:eastAsia="仿宋_GB2312"/>
          <w:sz w:val="32"/>
          <w:u w:val="single"/>
          <w:lang w:val="en-US" w:eastAsia="zh-CN"/>
        </w:rPr>
        <w:t xml:space="preserve">        </w:t>
      </w:r>
      <w:r>
        <w:rPr>
          <w:rFonts w:hint="eastAsia" w:eastAsia="仿宋_GB2312"/>
          <w:sz w:val="32"/>
          <w:u w:val="single"/>
        </w:rPr>
        <w:tab/>
      </w:r>
    </w:p>
    <w:p>
      <w:pPr>
        <w:spacing w:line="360" w:lineRule="exact"/>
        <w:rPr>
          <w:rFonts w:hint="eastAsia" w:eastAsia="仿宋_GB2312"/>
          <w:sz w:val="32"/>
        </w:rPr>
      </w:pPr>
      <w:r>
        <w:rPr>
          <w:rFonts w:hint="eastAsia" w:eastAsia="仿宋_GB2312"/>
          <w:sz w:val="32"/>
        </w:rPr>
        <w:t xml:space="preserve">        </w:t>
      </w:r>
    </w:p>
    <w:p>
      <w:pPr>
        <w:spacing w:line="360" w:lineRule="exact"/>
        <w:jc w:val="center"/>
        <w:outlineLvl w:val="0"/>
        <w:rPr>
          <w:rFonts w:hint="eastAsia" w:ascii="宋体" w:hAnsi="宋体"/>
          <w:sz w:val="32"/>
        </w:rPr>
      </w:pPr>
    </w:p>
    <w:p>
      <w:pPr>
        <w:jc w:val="center"/>
        <w:outlineLvl w:val="0"/>
        <w:rPr>
          <w:rFonts w:hint="eastAsia" w:ascii="宋体" w:hAnsi="宋体"/>
          <w:sz w:val="32"/>
        </w:rPr>
      </w:pPr>
    </w:p>
    <w:p>
      <w:pPr>
        <w:jc w:val="center"/>
        <w:outlineLvl w:val="0"/>
        <w:rPr>
          <w:rFonts w:hint="eastAsia" w:ascii="宋体" w:hAnsi="宋体"/>
          <w:sz w:val="32"/>
        </w:rPr>
      </w:pPr>
    </w:p>
    <w:p>
      <w:pPr>
        <w:jc w:val="center"/>
        <w:outlineLvl w:val="0"/>
        <w:rPr>
          <w:rFonts w:hint="eastAsia" w:ascii="宋体" w:eastAsia="宋体"/>
          <w:sz w:val="32"/>
          <w:lang w:eastAsia="zh-CN"/>
        </w:rPr>
      </w:pPr>
      <w:r>
        <w:rPr>
          <w:rFonts w:hint="eastAsia" w:ascii="宋体" w:hAnsi="宋体"/>
          <w:sz w:val="32"/>
        </w:rPr>
        <w:t>常州市</w:t>
      </w:r>
      <w:r>
        <w:rPr>
          <w:rFonts w:hint="eastAsia" w:ascii="宋体" w:hAnsi="宋体"/>
          <w:sz w:val="32"/>
          <w:lang w:eastAsia="zh-CN"/>
        </w:rPr>
        <w:t>新北区教师发展中心</w:t>
      </w:r>
    </w:p>
    <w:p>
      <w:pPr>
        <w:pStyle w:val="3"/>
        <w:ind w:left="99" w:leftChars="47"/>
        <w:jc w:val="center"/>
        <w:rPr>
          <w:rFonts w:hint="eastAsia"/>
        </w:rPr>
      </w:pPr>
      <w:r>
        <w:rPr>
          <w:rFonts w:hint="eastAsia"/>
        </w:rPr>
        <w:t>二O二</w:t>
      </w:r>
      <w:r>
        <w:rPr>
          <w:rFonts w:hint="eastAsia"/>
          <w:lang w:eastAsia="zh-CN"/>
        </w:rPr>
        <w:t>三</w:t>
      </w:r>
      <w:r>
        <w:rPr>
          <w:rFonts w:hint="eastAsia"/>
        </w:rPr>
        <w:t>年三月制</w:t>
      </w:r>
    </w:p>
    <w:p>
      <w:pPr>
        <w:rPr>
          <w:rFonts w:ascii="宋体" w:hAnsi="宋体" w:eastAsia="宋体" w:cs="宋体"/>
          <w:sz w:val="24"/>
          <w:szCs w:val="24"/>
        </w:rPr>
      </w:pPr>
    </w:p>
    <w:p>
      <w:pPr>
        <w:rPr>
          <w:rFonts w:ascii="宋体" w:hAnsi="宋体" w:eastAsia="宋体" w:cs="宋体"/>
          <w:sz w:val="24"/>
          <w:szCs w:val="24"/>
        </w:rPr>
      </w:pPr>
      <w:r>
        <w:rPr>
          <w:rFonts w:hint="eastAsia" w:ascii="宋体" w:hAnsi="宋体" w:eastAsia="宋体" w:cs="宋体"/>
          <w:sz w:val="24"/>
          <w:szCs w:val="24"/>
          <w:lang w:val="en-US" w:eastAsia="zh-CN"/>
        </w:rPr>
        <w:t xml:space="preserve"> </w: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798" w:type="dxa"/>
            <w:noWrap w:val="0"/>
            <w:vAlign w:val="top"/>
          </w:tcPr>
          <w:p>
            <w:pPr>
              <w:outlineLvl w:val="0"/>
              <w:rPr>
                <w:rFonts w:hint="eastAsia" w:ascii="黑体" w:hAnsi="黑体" w:eastAsia="黑体"/>
                <w:b/>
                <w:sz w:val="32"/>
                <w:szCs w:val="32"/>
              </w:rPr>
            </w:pPr>
            <w:r>
              <w:br w:type="page"/>
            </w:r>
            <w:r>
              <w:rPr>
                <w:sz w:val="36"/>
                <w:szCs w:val="32"/>
              </w:rPr>
              <w:br w:type="page"/>
            </w:r>
            <w:r>
              <w:rPr>
                <w:rFonts w:hint="eastAsia" w:ascii="黑体" w:hAnsi="黑体" w:eastAsia="黑体"/>
                <w:b/>
                <w:sz w:val="32"/>
                <w:szCs w:val="32"/>
              </w:rPr>
              <w:t>三、成果简要说明（限2000字）</w:t>
            </w:r>
          </w:p>
          <w:p>
            <w:pPr>
              <w:outlineLvl w:val="0"/>
              <w:rPr>
                <w:rFonts w:hint="eastAsia" w:ascii="黑体" w:hAnsi="黑体" w:eastAsia="黑体"/>
                <w:sz w:val="36"/>
                <w:szCs w:val="32"/>
              </w:rPr>
            </w:pPr>
            <w:r>
              <w:rPr>
                <w:rFonts w:hint="eastAsia" w:ascii="黑体" w:hAnsi="黑体" w:eastAsia="黑体"/>
                <w:sz w:val="32"/>
                <w:szCs w:val="32"/>
              </w:rPr>
              <w:t>(</w:t>
            </w:r>
            <w:r>
              <w:rPr>
                <w:rFonts w:hint="eastAsia" w:eastAsia="黑体"/>
                <w:bCs/>
                <w:sz w:val="28"/>
              </w:rPr>
              <w:t>包含简要研究过程、研究发现或结论、主要研究成果等</w:t>
            </w:r>
            <w:r>
              <w:rPr>
                <w:rFonts w:hint="eastAsia" w:ascii="黑体" w:hAnsi="黑体" w:eastAsia="黑体"/>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5" w:hRule="atLeast"/>
          <w:jc w:val="center"/>
        </w:trPr>
        <w:tc>
          <w:tcPr>
            <w:tcW w:w="8798" w:type="dxa"/>
            <w:noWrap w:val="0"/>
            <w:vAlign w:val="top"/>
          </w:tcPr>
          <w:p>
            <w:pPr>
              <w:jc w:val="both"/>
              <w:outlineLvl w:val="0"/>
              <w:rPr>
                <w:rFonts w:hint="eastAsia" w:eastAsia="宋体"/>
                <w:b/>
                <w:bCs/>
                <w:sz w:val="28"/>
                <w:szCs w:val="28"/>
                <w:lang w:eastAsia="zh-CN"/>
              </w:rPr>
            </w:pPr>
            <w:r>
              <w:rPr>
                <w:rFonts w:hint="eastAsia"/>
                <w:b/>
                <w:bCs/>
                <w:sz w:val="28"/>
                <w:szCs w:val="28"/>
                <w:lang w:eastAsia="zh-CN"/>
              </w:rPr>
              <w:t>一、研究过程</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r>
              <w:rPr>
                <w:rFonts w:hint="eastAsia"/>
                <w:b/>
                <w:bCs/>
                <w:sz w:val="24"/>
                <w:szCs w:val="24"/>
                <w:lang w:val="en-US" w:eastAsia="zh-CN"/>
              </w:rPr>
              <w:t>1.第一阶段（启动课题）：2021.6—2021.11</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（1）成立课题研究组，对课题研究的可行性、可操作性、社会效益进行论证分析；</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（2）与镇政府沟通联系，力争取得相关部门的支持与帮助；</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（3）组织学校领导和参与研究的教师学习有关资料，进行课题研究操作方法培训；</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（4）展开问卷调查，召开学生家长与教师座谈会，听取他们的意见和建议，争取全校教师和学生家长对该课题研究的支持；</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（5）课题组进行资料的搜集、整理、规划，撰写课题开题报告、研究方案。</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r>
              <w:rPr>
                <w:rFonts w:hint="eastAsia"/>
                <w:b/>
                <w:bCs/>
                <w:sz w:val="24"/>
                <w:szCs w:val="24"/>
                <w:lang w:val="en-US" w:eastAsia="zh-CN"/>
              </w:rPr>
              <w:t>2.第二阶段（实施课题）：2021.12—2023.6</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（1）梳理本土红色资源库，根据红色资源的呈现方式，整理不同资源类型，编写校本读本。</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（2）营造校本化的红色德育环境，结合本土红色文化资源多纬度打造校园环境，营造红色氛围。</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sz w:val="24"/>
                <w:szCs w:val="24"/>
                <w:lang w:val="en-US" w:eastAsia="zh-CN"/>
              </w:rPr>
            </w:pPr>
            <w:r>
              <w:rPr>
                <w:rFonts w:hint="eastAsia"/>
                <w:sz w:val="24"/>
                <w:szCs w:val="24"/>
                <w:lang w:val="en-US" w:eastAsia="zh-CN"/>
              </w:rPr>
              <w:t>（3）筛选红色资源，制定红色德育课程并分年段实施。初步形成校本化红色德育课程体系。</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（4）设计校本化的红色德育活动内容并全面开展，让每一位学生都能得到本土红色文化的熏陶。</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（5）系统制定红色德育体系的评价方式，按照不同年级学生特点设计丰富多样、层次分明、循序渐进的评价方式，形成评价序列。</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color w:val="C00000"/>
                <w:sz w:val="24"/>
                <w:szCs w:val="24"/>
                <w:lang w:val="en-US" w:eastAsia="zh-CN"/>
              </w:rPr>
            </w:pPr>
            <w:r>
              <w:rPr>
                <w:rFonts w:hint="eastAsia"/>
                <w:b/>
                <w:bCs/>
                <w:color w:val="C00000"/>
                <w:sz w:val="24"/>
                <w:szCs w:val="24"/>
                <w:lang w:val="en-US" w:eastAsia="zh-CN"/>
              </w:rPr>
              <w:t>3.第三阶段（总结课题）：2023.6—2024.5</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（1）整理资料，分析自评，邀请专家、学者对实验的成果进行科学鉴定，撰写课题研究报告，接受总课题组的验收评估。</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（2）展示实验成果，研究成果在全校或向兄弟学校推广，使之产生更大的社会效益。对课题进行全面总结。</w:t>
            </w:r>
          </w:p>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eastAsia="zh-CN"/>
              </w:rPr>
              <w:t>二、研究发现</w:t>
            </w:r>
            <w:r>
              <w:rPr>
                <w:rFonts w:hint="eastAsia" w:ascii="Times New Roman" w:hAnsi="Times New Roman" w:eastAsia="宋体" w:cs="Times New Roman"/>
                <w:b/>
                <w:bCs/>
                <w:sz w:val="28"/>
                <w:szCs w:val="28"/>
                <w:lang w:val="en-US" w:eastAsia="zh-CN"/>
              </w:rPr>
              <w:t>和结论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textAlignment w:val="auto"/>
              <w:rPr>
                <w:rFonts w:hint="default" w:ascii="宋体" w:hAnsi="宋体"/>
                <w:b/>
                <w:bCs/>
                <w:sz w:val="24"/>
                <w:szCs w:val="24"/>
                <w:lang w:val="en-US" w:eastAsia="zh-CN"/>
              </w:rPr>
            </w:pPr>
            <w:r>
              <w:rPr>
                <w:rFonts w:hint="eastAsia" w:ascii="宋体" w:hAnsi="宋体"/>
                <w:b/>
                <w:bCs/>
                <w:sz w:val="24"/>
                <w:szCs w:val="24"/>
                <w:lang w:val="en-US" w:eastAsia="zh-CN"/>
              </w:rPr>
              <w:t>1.文献研究相关发现：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80" w:firstLineChars="200"/>
              <w:textAlignment w:val="auto"/>
              <w:rPr>
                <w:rFonts w:hint="default" w:ascii="宋体" w:hAnsi="宋体"/>
                <w:b w:val="0"/>
                <w:bCs w:val="0"/>
                <w:sz w:val="24"/>
                <w:szCs w:val="24"/>
                <w:lang w:val="en-US" w:eastAsia="zh-CN"/>
              </w:rPr>
            </w:pPr>
            <w:r>
              <w:rPr>
                <w:rFonts w:hint="default" w:ascii="宋体" w:hAnsi="宋体"/>
                <w:b w:val="0"/>
                <w:bCs w:val="0"/>
                <w:sz w:val="24"/>
                <w:szCs w:val="24"/>
                <w:lang w:val="en-US" w:eastAsia="zh-CN"/>
              </w:rPr>
              <w:t>目前我国学术界关于红色文化资源的相关研究取得了一定的成果。随着社会发展需要和各方面现实因素的影响，如中</w:t>
            </w:r>
            <w:r>
              <w:rPr>
                <w:rFonts w:hint="eastAsia" w:ascii="宋体" w:hAnsi="宋体"/>
                <w:b w:val="0"/>
                <w:bCs w:val="0"/>
                <w:sz w:val="24"/>
                <w:szCs w:val="24"/>
                <w:lang w:val="en-US" w:eastAsia="zh-CN"/>
              </w:rPr>
              <w:t>小</w:t>
            </w:r>
            <w:r>
              <w:rPr>
                <w:rFonts w:hint="default" w:ascii="宋体" w:hAnsi="宋体"/>
                <w:b w:val="0"/>
                <w:bCs w:val="0"/>
                <w:sz w:val="24"/>
                <w:szCs w:val="24"/>
                <w:lang w:val="en-US" w:eastAsia="zh-CN"/>
              </w:rPr>
              <w:t>学生文化传承使命、意识形态逐渐多元等，学者们逐渐关注到其对德育教育的重要价值</w:t>
            </w:r>
            <w:r>
              <w:rPr>
                <w:rFonts w:hint="eastAsia" w:ascii="宋体" w:hAnsi="宋体"/>
                <w:b w:val="0"/>
                <w:bCs w:val="0"/>
                <w:sz w:val="24"/>
                <w:szCs w:val="24"/>
                <w:lang w:val="en-US" w:eastAsia="zh-CN"/>
              </w:rPr>
              <w:t>。</w:t>
            </w:r>
            <w:r>
              <w:rPr>
                <w:rFonts w:hint="default" w:ascii="宋体" w:hAnsi="宋体"/>
                <w:b w:val="0"/>
                <w:bCs w:val="0"/>
                <w:sz w:val="24"/>
                <w:szCs w:val="24"/>
                <w:lang w:val="en-US" w:eastAsia="zh-CN"/>
              </w:rPr>
              <w:t>但现有的研究成果也大多散见于一些期刊杂志，缺乏一些较为系统性和完整性的研究成果，导致目前红色文化资源在德育教育中的运用还不能总结出一整套完整的理论和经验，并且相关研究有待进一步深入探讨，还有很大的拓展</w:t>
            </w:r>
            <w:r>
              <w:rPr>
                <w:rFonts w:hint="eastAsia" w:ascii="宋体" w:hAnsi="宋体"/>
                <w:b w:val="0"/>
                <w:bCs w:val="0"/>
                <w:sz w:val="24"/>
                <w:szCs w:val="24"/>
                <w:lang w:val="en-US" w:eastAsia="zh-CN"/>
              </w:rPr>
              <w:t>延伸</w:t>
            </w:r>
            <w:r>
              <w:rPr>
                <w:rFonts w:hint="default" w:ascii="宋体" w:hAnsi="宋体"/>
                <w:b w:val="0"/>
                <w:bCs w:val="0"/>
                <w:sz w:val="24"/>
                <w:szCs w:val="24"/>
                <w:lang w:val="en-US" w:eastAsia="zh-CN"/>
              </w:rPr>
              <w:t>空间。</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right="-107" w:rightChars="-51"/>
              <w:textAlignment w:val="auto"/>
              <w:rPr>
                <w:rFonts w:hint="eastAsia" w:ascii="宋体" w:hAnsi="宋体"/>
                <w:b/>
                <w:bCs/>
                <w:sz w:val="24"/>
                <w:szCs w:val="24"/>
                <w:lang w:val="en-US" w:eastAsia="zh-CN"/>
              </w:rPr>
            </w:pPr>
            <w:r>
              <w:rPr>
                <w:rFonts w:hint="eastAsia" w:ascii="宋体" w:hAnsi="宋体"/>
                <w:b/>
                <w:bCs/>
                <w:sz w:val="24"/>
                <w:szCs w:val="24"/>
                <w:lang w:val="en-US" w:eastAsia="zh-CN"/>
              </w:rPr>
              <w:t>现状调查相关发现：</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ascii="宋体" w:hAnsi="宋体"/>
                <w:b w:val="0"/>
                <w:bCs w:val="0"/>
                <w:sz w:val="24"/>
                <w:szCs w:val="24"/>
                <w:lang w:val="en-US" w:eastAsia="zh-CN"/>
              </w:rPr>
            </w:pPr>
            <w:r>
              <w:rPr>
                <w:rFonts w:hint="eastAsia" w:ascii="宋体" w:hAnsi="宋体" w:eastAsia="宋体" w:cs="Times New Roman"/>
                <w:b w:val="0"/>
                <w:bCs w:val="0"/>
                <w:sz w:val="24"/>
                <w:szCs w:val="24"/>
                <w:lang w:val="en-US" w:eastAsia="zh-CN"/>
              </w:rPr>
              <w:t>联合多方力量，查找资料，实地考察走访，了解了孟河本土红色资源现状，了解了师生、民众对孟河红色文化资源的了解程度。结果分析发现，大部分的参与民众对孟河的红色资源不了解且不重视。除了知晓常州三杰之一的恽代英，其他红色资源了解甚少。65%的民众认为红色教育该从孩子抓起，学校教育起到的作用很大。</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right="-107" w:rightChars="-51"/>
              <w:textAlignment w:val="auto"/>
              <w:rPr>
                <w:rFonts w:hint="default" w:ascii="宋体" w:hAnsi="宋体"/>
                <w:b/>
                <w:bCs/>
                <w:sz w:val="24"/>
                <w:szCs w:val="24"/>
                <w:lang w:val="en-US" w:eastAsia="zh-CN"/>
              </w:rPr>
            </w:pPr>
            <w:r>
              <w:rPr>
                <w:rFonts w:hint="eastAsia" w:ascii="宋体" w:hAnsi="宋体"/>
                <w:b/>
                <w:bCs/>
                <w:sz w:val="24"/>
                <w:szCs w:val="24"/>
                <w:lang w:val="en-US" w:eastAsia="zh-CN"/>
              </w:rPr>
              <w:t>课程实施相关发现：</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 xml:space="preserve"> </w:t>
            </w:r>
            <w:r>
              <w:rPr>
                <w:rFonts w:hint="eastAsia" w:ascii="宋体" w:hAnsi="宋体" w:eastAsia="宋体" w:cs="Times New Roman"/>
                <w:b w:val="0"/>
                <w:bCs w:val="0"/>
                <w:sz w:val="24"/>
                <w:szCs w:val="24"/>
                <w:lang w:val="en-US" w:eastAsia="zh-CN"/>
              </w:rPr>
              <w:t>学生在实践体验式的红色德育课程中筑牢了红色信仰，坚定了爱国爱党的意志品质；在红色特色课程实施的过程中，学生的学习方式也完成了立体多维的转变，自主体验式的学习方式让学生有了更多发自内心的收获和感悟；同时，学习方式的多元性提升了学生的学习能力，活动策划、小组合作、学科整合、实践寻访等让学生收获了获取知识、处理信息、分析思辨、交流表达、实践探究的综合能力。</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107" w:rightChars="-51" w:firstLine="0" w:firstLineChars="0"/>
              <w:textAlignment w:val="auto"/>
              <w:rPr>
                <w:rFonts w:hint="eastAsia" w:ascii="宋体" w:hAnsi="宋体"/>
                <w:b/>
                <w:bCs/>
                <w:sz w:val="24"/>
                <w:szCs w:val="24"/>
                <w:lang w:val="en-US" w:eastAsia="zh-CN"/>
              </w:rPr>
            </w:pPr>
            <w:r>
              <w:rPr>
                <w:rFonts w:hint="eastAsia" w:ascii="宋体" w:hAnsi="宋体"/>
                <w:b/>
                <w:bCs/>
                <w:sz w:val="24"/>
                <w:szCs w:val="24"/>
                <w:lang w:val="en-US" w:eastAsia="zh-CN"/>
              </w:rPr>
              <w:t>评价制定相关发现：</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eastAsia="宋体" w:cs="Times New Roman"/>
                <w:b w:val="0"/>
                <w:bCs w:val="0"/>
                <w:sz w:val="24"/>
                <w:szCs w:val="24"/>
                <w:lang w:val="en-US" w:eastAsia="zh-CN"/>
              </w:rPr>
            </w:pPr>
            <w:r>
              <w:rPr>
                <w:rFonts w:hint="eastAsia"/>
                <w:b w:val="0"/>
                <w:bCs w:val="0"/>
                <w:sz w:val="24"/>
                <w:szCs w:val="24"/>
                <w:lang w:val="en-US" w:eastAsia="zh-CN"/>
              </w:rPr>
              <w:t>根据红色课程及活动的开展进行主题化评价，</w:t>
            </w:r>
            <w:r>
              <w:rPr>
                <w:rFonts w:hint="eastAsia" w:ascii="宋体" w:hAnsi="宋体" w:eastAsia="宋体" w:cs="Times New Roman"/>
                <w:b w:val="0"/>
                <w:bCs w:val="0"/>
                <w:sz w:val="24"/>
                <w:szCs w:val="24"/>
                <w:lang w:val="en-US" w:eastAsia="zh-CN"/>
              </w:rPr>
              <w:t>多维度的评价方式</w:t>
            </w:r>
            <w:r>
              <w:rPr>
                <w:rFonts w:hint="eastAsia"/>
                <w:b w:val="0"/>
                <w:bCs w:val="0"/>
                <w:sz w:val="24"/>
                <w:szCs w:val="24"/>
                <w:lang w:val="en-US" w:eastAsia="zh-CN"/>
              </w:rPr>
              <w:t>实现了评价的适切化和多元化。在学生层面，将称号评比、奖项评比、积分累计等多种评价方式相统一，实现评价主体的全覆盖和评价过程的综合性；而</w:t>
            </w:r>
            <w:r>
              <w:rPr>
                <w:rFonts w:hint="eastAsia" w:ascii="宋体" w:hAnsi="宋体" w:eastAsia="宋体" w:cs="Times New Roman"/>
                <w:b w:val="0"/>
                <w:bCs w:val="0"/>
                <w:sz w:val="24"/>
                <w:szCs w:val="24"/>
                <w:lang w:val="en-US" w:eastAsia="zh-CN"/>
              </w:rPr>
              <w:t>老师们成为了学习型教师、科研型教师，在教学过程中积极探索红色课程实施的新路径，创新课程和活动的落实形式，逐渐实现教师课程意识和教学观念的转变。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107" w:rightChars="-51"/>
              <w:textAlignment w:val="auto"/>
              <w:rPr>
                <w:rFonts w:hint="default" w:ascii="宋体" w:hAnsi="宋体"/>
                <w:b/>
                <w:bCs/>
                <w:sz w:val="24"/>
                <w:szCs w:val="24"/>
                <w:lang w:val="en-US" w:eastAsia="zh-CN"/>
              </w:rPr>
            </w:pPr>
          </w:p>
          <w:p>
            <w:pPr>
              <w:numPr>
                <w:ilvl w:val="0"/>
                <w:numId w:val="0"/>
              </w:numPr>
              <w:rPr>
                <w:rFonts w:hint="eastAsia"/>
                <w:b/>
                <w:sz w:val="28"/>
                <w:szCs w:val="28"/>
              </w:rPr>
            </w:pPr>
            <w:r>
              <w:rPr>
                <w:rFonts w:hint="eastAsia"/>
                <w:b/>
                <w:sz w:val="28"/>
                <w:szCs w:val="28"/>
                <w:lang w:val="en-US" w:eastAsia="zh-CN"/>
              </w:rPr>
              <w:t>三、主要研究</w:t>
            </w:r>
            <w:r>
              <w:rPr>
                <w:rFonts w:hint="eastAsia"/>
                <w:b/>
                <w:sz w:val="28"/>
                <w:szCs w:val="28"/>
              </w:rPr>
              <w:t>成果</w:t>
            </w:r>
          </w:p>
          <w:p>
            <w:pPr>
              <w:numPr>
                <w:ilvl w:val="0"/>
                <w:numId w:val="2"/>
              </w:numPr>
              <w:ind w:firstLine="562" w:firstLineChars="200"/>
              <w:rPr>
                <w:rFonts w:hint="eastAsia"/>
                <w:b/>
                <w:sz w:val="28"/>
                <w:szCs w:val="28"/>
              </w:rPr>
            </w:pPr>
            <w:r>
              <w:rPr>
                <w:rFonts w:hint="eastAsia"/>
                <w:b/>
                <w:sz w:val="28"/>
                <w:szCs w:val="28"/>
              </w:rPr>
              <w:t>理论成果</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b/>
                <w:bCs/>
                <w:sz w:val="24"/>
                <w:szCs w:val="24"/>
                <w:lang w:val="en-US" w:eastAsia="zh-CN"/>
              </w:rPr>
            </w:pPr>
            <w:r>
              <w:rPr>
                <w:rFonts w:hint="eastAsia"/>
                <w:b/>
                <w:bCs/>
                <w:sz w:val="24"/>
                <w:szCs w:val="24"/>
                <w:lang w:val="en-US" w:eastAsia="zh-CN"/>
              </w:rPr>
              <w:t>1.形成了对本土红色资源价值的理性认识</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sz w:val="24"/>
                <w:szCs w:val="24"/>
                <w:lang w:val="en-US" w:eastAsia="zh-CN"/>
              </w:rPr>
            </w:pPr>
            <w:r>
              <w:rPr>
                <w:rFonts w:hint="default"/>
                <w:sz w:val="24"/>
                <w:szCs w:val="24"/>
                <w:lang w:val="en-US" w:eastAsia="zh-CN"/>
              </w:rPr>
              <w:t>利用</w:t>
            </w:r>
            <w:r>
              <w:rPr>
                <w:rFonts w:hint="eastAsia"/>
                <w:sz w:val="24"/>
                <w:szCs w:val="24"/>
                <w:lang w:val="en-US" w:eastAsia="zh-CN"/>
              </w:rPr>
              <w:t>本土</w:t>
            </w:r>
            <w:r>
              <w:rPr>
                <w:rFonts w:hint="default"/>
                <w:sz w:val="24"/>
                <w:szCs w:val="24"/>
                <w:lang w:val="en-US" w:eastAsia="zh-CN"/>
              </w:rPr>
              <w:t>红色文化资源</w:t>
            </w:r>
            <w:r>
              <w:rPr>
                <w:rFonts w:hint="eastAsia"/>
                <w:sz w:val="24"/>
                <w:szCs w:val="24"/>
                <w:lang w:val="en-US" w:eastAsia="zh-CN"/>
              </w:rPr>
              <w:t>开展德育</w:t>
            </w:r>
            <w:r>
              <w:rPr>
                <w:rFonts w:hint="default"/>
                <w:sz w:val="24"/>
                <w:szCs w:val="24"/>
                <w:lang w:val="en-US" w:eastAsia="zh-CN"/>
              </w:rPr>
              <w:t>，不仅能拓展教育渠道</w:t>
            </w:r>
            <w:r>
              <w:rPr>
                <w:rFonts w:hint="eastAsia"/>
                <w:sz w:val="24"/>
                <w:szCs w:val="24"/>
                <w:lang w:val="en-US" w:eastAsia="zh-CN"/>
              </w:rPr>
              <w:t>，</w:t>
            </w:r>
            <w:r>
              <w:rPr>
                <w:rFonts w:hint="default"/>
                <w:sz w:val="24"/>
                <w:szCs w:val="24"/>
                <w:lang w:val="en-US" w:eastAsia="zh-CN"/>
              </w:rPr>
              <w:t>解决以往对于学生思想教育的形式主义、口头说教、空洞无物等缺点，还能实现对学生思想品德教育的乡土性</w:t>
            </w:r>
            <w:r>
              <w:rPr>
                <w:rFonts w:hint="eastAsia"/>
                <w:sz w:val="24"/>
                <w:szCs w:val="24"/>
                <w:lang w:val="en-US" w:eastAsia="zh-CN"/>
              </w:rPr>
              <w:t>、</w:t>
            </w:r>
            <w:r>
              <w:rPr>
                <w:rFonts w:hint="default"/>
                <w:sz w:val="24"/>
                <w:szCs w:val="24"/>
                <w:lang w:val="en-US" w:eastAsia="zh-CN"/>
              </w:rPr>
              <w:t>现实性</w:t>
            </w:r>
            <w:r>
              <w:rPr>
                <w:rFonts w:hint="eastAsia"/>
                <w:sz w:val="24"/>
                <w:szCs w:val="24"/>
                <w:lang w:val="en-US" w:eastAsia="zh-CN"/>
              </w:rPr>
              <w:t>、</w:t>
            </w:r>
            <w:r>
              <w:rPr>
                <w:rFonts w:hint="default"/>
                <w:sz w:val="24"/>
                <w:szCs w:val="24"/>
                <w:lang w:val="en-US" w:eastAsia="zh-CN"/>
              </w:rPr>
              <w:t>实用性特点。在教育形式上能实现多样化、形象化、直观化和具体化</w:t>
            </w:r>
            <w:r>
              <w:rPr>
                <w:rFonts w:hint="eastAsia"/>
                <w:sz w:val="24"/>
                <w:szCs w:val="24"/>
                <w:lang w:val="en-US" w:eastAsia="zh-CN"/>
              </w:rPr>
              <w:t>，</w:t>
            </w:r>
            <w:r>
              <w:rPr>
                <w:rFonts w:hint="default"/>
                <w:sz w:val="24"/>
                <w:szCs w:val="24"/>
                <w:lang w:val="en-US" w:eastAsia="zh-CN"/>
              </w:rPr>
              <w:t>加强学生的亲身体验</w:t>
            </w:r>
            <w:r>
              <w:rPr>
                <w:rFonts w:hint="eastAsia"/>
                <w:sz w:val="24"/>
                <w:szCs w:val="24"/>
                <w:lang w:val="en-US" w:eastAsia="zh-CN"/>
              </w:rPr>
              <w:t>，</w:t>
            </w:r>
            <w:r>
              <w:rPr>
                <w:rFonts w:hint="default"/>
                <w:sz w:val="24"/>
                <w:szCs w:val="24"/>
                <w:lang w:val="en-US" w:eastAsia="zh-CN"/>
              </w:rPr>
              <w:t>促进学生思想道德品质的提高</w:t>
            </w:r>
            <w:r>
              <w:rPr>
                <w:rFonts w:hint="eastAsia"/>
                <w:sz w:val="24"/>
                <w:szCs w:val="24"/>
                <w:lang w:val="en-US" w:eastAsia="zh-CN"/>
              </w:rPr>
              <w:t>，</w:t>
            </w:r>
            <w:r>
              <w:rPr>
                <w:rFonts w:hint="default"/>
                <w:sz w:val="24"/>
                <w:szCs w:val="24"/>
                <w:lang w:val="en-US" w:eastAsia="zh-CN"/>
              </w:rPr>
              <w:t>为学校的思想道德教育开辟新空间。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82" w:firstLineChars="200"/>
              <w:textAlignment w:val="auto"/>
              <w:rPr>
                <w:rFonts w:hint="default"/>
                <w:sz w:val="24"/>
                <w:szCs w:val="24"/>
                <w:lang w:val="en-US" w:eastAsia="zh-CN"/>
              </w:rPr>
            </w:pPr>
            <w:r>
              <w:rPr>
                <w:rFonts w:hint="eastAsia"/>
                <w:b/>
                <w:bCs/>
                <w:sz w:val="24"/>
                <w:szCs w:val="24"/>
                <w:lang w:val="en-US" w:eastAsia="zh-CN"/>
              </w:rPr>
              <w:t>2.形成了多维开放的丰富课型</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rPr>
                <w:rFonts w:hint="default" w:ascii="宋体" w:hAnsi="宋体" w:eastAsia="宋体" w:cs="Times New Roman"/>
                <w:b w:val="0"/>
                <w:bCs w:val="0"/>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红色教育不是简单的文化灌输和知识说教，是学生知、情、意、行相统一的过程。课题组成员立足课堂，根据不同的红色资源进行教学尝试，跨学科、跨领域进行课型的研究，力求通过多样的教学方法和课堂组织形式实现红色课程的扎实落地。</w:t>
            </w:r>
          </w:p>
          <w:p>
            <w:pPr>
              <w:ind w:firstLine="562" w:firstLineChars="200"/>
              <w:rPr>
                <w:b/>
                <w:sz w:val="28"/>
                <w:szCs w:val="28"/>
              </w:rPr>
            </w:pPr>
            <w:r>
              <w:rPr>
                <w:rFonts w:hint="eastAsia"/>
                <w:b/>
                <w:sz w:val="28"/>
                <w:szCs w:val="28"/>
              </w:rPr>
              <w:t>（二）实践成果</w:t>
            </w:r>
          </w:p>
          <w:p>
            <w:pPr>
              <w:ind w:firstLine="562" w:firstLineChars="200"/>
              <w:rPr>
                <w:rFonts w:hint="eastAsia" w:eastAsia="宋体"/>
                <w:b/>
                <w:sz w:val="28"/>
                <w:szCs w:val="28"/>
                <w:lang w:val="en-US" w:eastAsia="zh-CN"/>
              </w:rPr>
            </w:pPr>
            <w:r>
              <w:rPr>
                <w:rFonts w:hint="eastAsia"/>
                <w:b/>
                <w:sz w:val="28"/>
                <w:szCs w:val="28"/>
                <w:lang w:val="en-US" w:eastAsia="zh-CN"/>
              </w:rPr>
              <w:t>1.课题研究的经验成效</w:t>
            </w:r>
          </w:p>
          <w:p>
            <w:pPr>
              <w:ind w:firstLine="480"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红色教育是学校的文化特色。通过红色德育课程体系的架构和特色红色课程的实施，学校的红色教育又上了一个新台阶。学校的“红色宣讲团”结合红色教育这一主线广泛开展了红色宣讲，校“代英主题馆”先后接待了150多批次来自市、区等多级领导、党员干部和兄弟学校以及家长的参观和学习，得到了社会各界的广泛好评，宣讲员们各类出色的宣讲活动登上了“学习强国”、“常州日报”等媒体报刊，他们的红色话剧《青年楷模恽代英》还登上了各级舞台，得到了社会各界的一致好评。学校的“小手拉大手”红色基因渗透计划成为了区级的社区治理实验项目，校“代英主题馆”也成为了区级的红色教育实践基地。</w:t>
            </w:r>
          </w:p>
          <w:p>
            <w:pPr>
              <w:ind w:firstLine="562" w:firstLineChars="200"/>
              <w:rPr>
                <w:b/>
                <w:sz w:val="28"/>
                <w:szCs w:val="28"/>
              </w:rPr>
            </w:pPr>
            <w:r>
              <w:rPr>
                <w:rFonts w:hint="eastAsia"/>
                <w:b/>
                <w:sz w:val="28"/>
                <w:szCs w:val="28"/>
                <w:lang w:val="en-US" w:eastAsia="zh-CN"/>
              </w:rPr>
              <w:t>2</w:t>
            </w:r>
            <w:r>
              <w:rPr>
                <w:rFonts w:hint="eastAsia"/>
                <w:b/>
                <w:sz w:val="28"/>
                <w:szCs w:val="28"/>
              </w:rPr>
              <w:t>.课</w:t>
            </w:r>
            <w:r>
              <w:rPr>
                <w:rFonts w:hint="eastAsia"/>
                <w:b/>
                <w:sz w:val="28"/>
                <w:szCs w:val="28"/>
                <w:lang w:val="en-US" w:eastAsia="zh-CN"/>
              </w:rPr>
              <w:t>题</w:t>
            </w:r>
            <w:r>
              <w:rPr>
                <w:rFonts w:hint="eastAsia"/>
                <w:b/>
                <w:sz w:val="28"/>
                <w:szCs w:val="28"/>
              </w:rPr>
              <w:t>研究的物化成果</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（1）多篇论文发表或获奖</w:t>
            </w:r>
          </w:p>
          <w:tbl>
            <w:tblPr>
              <w:tblStyle w:val="6"/>
              <w:tblW w:w="8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4620"/>
              <w:gridCol w:w="204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作者</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论文题目</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bCs/>
                      <w:sz w:val="24"/>
                      <w:szCs w:val="24"/>
                      <w:lang w:val="en-US" w:eastAsia="zh-CN"/>
                    </w:rPr>
                  </w:pPr>
                  <w:r>
                    <w:rPr>
                      <w:rFonts w:hint="eastAsia"/>
                      <w:b/>
                      <w:bCs/>
                      <w:sz w:val="24"/>
                      <w:szCs w:val="24"/>
                      <w:lang w:val="en-US" w:eastAsia="zh-CN"/>
                    </w:rPr>
                    <w:t>发表刊物/</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所获奖项</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周颖</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《小学语文教学中渗透红色教育的策略》</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《作家天地》</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周颖</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《依托本土红色资源，开发特色校本课程》</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《中小学教育》</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2022.3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b w:val="0"/>
                      <w:bCs w:val="0"/>
                      <w:sz w:val="24"/>
                      <w:szCs w:val="24"/>
                      <w:lang w:val="en-US" w:eastAsia="zh-CN"/>
                    </w:rPr>
                  </w:pPr>
                  <w:r>
                    <w:rPr>
                      <w:rFonts w:hint="eastAsia"/>
                      <w:b w:val="0"/>
                      <w:bCs w:val="0"/>
                      <w:sz w:val="24"/>
                      <w:szCs w:val="24"/>
                      <w:lang w:val="en-US" w:eastAsia="zh-CN"/>
                    </w:rPr>
                    <w:t>周颖、蒋燕娟</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b w:val="0"/>
                      <w:bCs w:val="0"/>
                      <w:sz w:val="24"/>
                      <w:szCs w:val="24"/>
                      <w:lang w:val="en-US" w:eastAsia="zh-CN"/>
                    </w:rPr>
                  </w:pPr>
                  <w:r>
                    <w:rPr>
                      <w:rFonts w:hint="eastAsia"/>
                      <w:b w:val="0"/>
                      <w:bCs w:val="0"/>
                      <w:sz w:val="24"/>
                      <w:szCs w:val="24"/>
                      <w:lang w:val="en-US" w:eastAsia="zh-CN"/>
                    </w:rPr>
                    <w:t>《寻楷模足迹 传革命薪火》</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《少年号角》</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蒋燕娟</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《赓续红色基因，凝聚奋进力量，培育代英少年》</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《教育界》</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巢肖琴</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《依托本土红色资源，建构学校德育课程》</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《教学与研究》</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2022.10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王海霞</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《教育，在每个细节》</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《时代学习报》</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王海霞</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《学英雄 敬英雄  做英雄》</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《未来科学家》</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5B9BD5" w:themeColor="accent1"/>
                      <w:sz w:val="24"/>
                      <w:szCs w:val="24"/>
                      <w:lang w:val="en-US" w:eastAsia="zh-CN"/>
                      <w14:textFill>
                        <w14:solidFill>
                          <w14:schemeClr w14:val="accent1"/>
                        </w14:solidFill>
                      </w14:textFill>
                    </w:rPr>
                  </w:pPr>
                  <w:r>
                    <w:rPr>
                      <w:rFonts w:hint="eastAsia"/>
                      <w:b w:val="0"/>
                      <w:bCs w:val="0"/>
                      <w:color w:val="5B9BD5" w:themeColor="accent1"/>
                      <w:sz w:val="24"/>
                      <w:szCs w:val="24"/>
                      <w:lang w:val="en-US" w:eastAsia="zh-CN"/>
                      <w14:textFill>
                        <w14:solidFill>
                          <w14:schemeClr w14:val="accent1"/>
                        </w14:solidFill>
                      </w14:textFill>
                    </w:rPr>
                    <w:t>2022.5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王丽红</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《英雄中队：革命薪火永相传》</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《少年号角》</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2022.4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王徐恋</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《依托本土红色资源 建构学校德育体系》</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《教师教育论坛》</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2022.10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吴琼</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《尊重学生主体 提升德育效率》</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《教育学文摘》</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2022.6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周颖</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《如何因地制宜让红色主题活动更高效》</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《教育学文摘》</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2024.5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spacing w:line="420" w:lineRule="exact"/>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蒋燕娟</w:t>
                  </w:r>
                </w:p>
              </w:tc>
              <w:tc>
                <w:tcPr>
                  <w:tcW w:w="4620" w:type="dxa"/>
                  <w:noWrap w:val="0"/>
                  <w:vAlign w:val="center"/>
                </w:tcPr>
                <w:p>
                  <w:pPr>
                    <w:spacing w:line="440" w:lineRule="exact"/>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《依托本土红色资源构建学校德育体系的实践研究》</w:t>
                  </w:r>
                </w:p>
              </w:tc>
              <w:tc>
                <w:tcPr>
                  <w:tcW w:w="2040" w:type="dxa"/>
                  <w:noWrap w:val="0"/>
                  <w:vAlign w:val="center"/>
                </w:tcPr>
                <w:p>
                  <w:pPr>
                    <w:spacing w:line="420" w:lineRule="exact"/>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《向导》</w:t>
                  </w:r>
                </w:p>
              </w:tc>
              <w:tc>
                <w:tcPr>
                  <w:tcW w:w="1065" w:type="dxa"/>
                  <w:noWrap w:val="0"/>
                  <w:vAlign w:val="center"/>
                </w:tcPr>
                <w:p>
                  <w:pPr>
                    <w:spacing w:line="420" w:lineRule="exact"/>
                    <w:jc w:val="center"/>
                    <w:rPr>
                      <w:rFonts w:hint="default"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2024.5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spacing w:line="420" w:lineRule="exact"/>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巢肖琴</w:t>
                  </w:r>
                </w:p>
              </w:tc>
              <w:tc>
                <w:tcPr>
                  <w:tcW w:w="4620" w:type="dxa"/>
                  <w:noWrap w:val="0"/>
                  <w:vAlign w:val="center"/>
                </w:tcPr>
                <w:p>
                  <w:pPr>
                    <w:spacing w:line="440" w:lineRule="exact"/>
                    <w:jc w:val="center"/>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《小学本土红色资源建构学校德育活动体系的实践研究》</w:t>
                  </w:r>
                </w:p>
              </w:tc>
              <w:tc>
                <w:tcPr>
                  <w:tcW w:w="2040" w:type="dxa"/>
                  <w:noWrap w:val="0"/>
                  <w:vAlign w:val="center"/>
                </w:tcPr>
                <w:p>
                  <w:pPr>
                    <w:spacing w:line="420" w:lineRule="exact"/>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《基础教育参考》</w:t>
                  </w:r>
                </w:p>
              </w:tc>
              <w:tc>
                <w:tcPr>
                  <w:tcW w:w="1065" w:type="dxa"/>
                  <w:noWrap w:val="0"/>
                  <w:vAlign w:val="center"/>
                </w:tcPr>
                <w:p>
                  <w:pPr>
                    <w:spacing w:line="420" w:lineRule="exact"/>
                    <w:jc w:val="center"/>
                    <w:rPr>
                      <w:rFonts w:hint="default"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2024.3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both"/>
                    <w:rPr>
                      <w:rFonts w:hint="default"/>
                      <w:b w:val="0"/>
                      <w:bCs w:val="0"/>
                      <w:sz w:val="24"/>
                      <w:szCs w:val="24"/>
                      <w:lang w:val="en-US" w:eastAsia="zh-CN"/>
                    </w:rPr>
                  </w:pPr>
                  <w:r>
                    <w:rPr>
                      <w:rFonts w:hint="eastAsia"/>
                      <w:b w:val="0"/>
                      <w:bCs w:val="0"/>
                      <w:sz w:val="24"/>
                      <w:szCs w:val="24"/>
                      <w:lang w:val="en-US" w:eastAsia="zh-CN"/>
                    </w:rPr>
                    <w:t>陶媛媛</w:t>
                  </w:r>
                </w:p>
              </w:tc>
              <w:tc>
                <w:tcPr>
                  <w:tcW w:w="46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《在思政课中融入德育》</w:t>
                  </w:r>
                </w:p>
              </w:tc>
              <w:tc>
                <w:tcPr>
                  <w:tcW w:w="204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《基础教育参考》</w:t>
                  </w:r>
                </w:p>
              </w:tc>
              <w:tc>
                <w:tcPr>
                  <w:tcW w:w="106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2023.7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both"/>
                    <w:rPr>
                      <w:rFonts w:hint="eastAsia"/>
                      <w:b w:val="0"/>
                      <w:bCs w:val="0"/>
                      <w:sz w:val="24"/>
                      <w:szCs w:val="24"/>
                      <w:lang w:val="en-US" w:eastAsia="zh-CN"/>
                    </w:rPr>
                  </w:pPr>
                  <w:r>
                    <w:rPr>
                      <w:rFonts w:hint="eastAsia"/>
                      <w:b w:val="0"/>
                      <w:bCs w:val="0"/>
                      <w:sz w:val="24"/>
                      <w:szCs w:val="24"/>
                      <w:lang w:val="en-US" w:eastAsia="zh-CN"/>
                    </w:rPr>
                    <w:t>陶媛媛</w:t>
                  </w:r>
                </w:p>
              </w:tc>
              <w:tc>
                <w:tcPr>
                  <w:tcW w:w="46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《小校园里大思政》</w:t>
                  </w:r>
                </w:p>
              </w:tc>
              <w:tc>
                <w:tcPr>
                  <w:tcW w:w="204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lang w:val="en-US" w:eastAsia="zh-CN"/>
                    </w:rPr>
                  </w:pPr>
                  <w:r>
                    <w:rPr>
                      <w:rFonts w:hint="eastAsia"/>
                      <w:b w:val="0"/>
                      <w:bCs w:val="0"/>
                      <w:sz w:val="24"/>
                      <w:szCs w:val="24"/>
                      <w:lang w:val="en-US" w:eastAsia="zh-CN"/>
                    </w:rPr>
                    <w:t>《向导》</w:t>
                  </w:r>
                </w:p>
              </w:tc>
              <w:tc>
                <w:tcPr>
                  <w:tcW w:w="106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lang w:val="en-US" w:eastAsia="zh-CN"/>
                    </w:rPr>
                  </w:pPr>
                  <w:r>
                    <w:rPr>
                      <w:rFonts w:hint="eastAsia"/>
                      <w:b w:val="0"/>
                      <w:bCs w:val="0"/>
                      <w:sz w:val="24"/>
                      <w:szCs w:val="24"/>
                      <w:lang w:val="en-US" w:eastAsia="zh-CN"/>
                    </w:rPr>
                    <w:t>2024.5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szCs w:val="24"/>
                      <w:lang w:val="en-US" w:eastAsia="zh-CN"/>
                    </w:rPr>
                    <w:t>周颖、蒋燕娟</w:t>
                  </w:r>
                </w:p>
              </w:tc>
              <w:tc>
                <w:tcPr>
                  <w:tcW w:w="462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szCs w:val="24"/>
                      <w:lang w:val="en-US" w:eastAsia="zh-CN"/>
                    </w:rPr>
                    <w:t>《寻楷模足迹 传革命薪火》</w:t>
                  </w:r>
                </w:p>
              </w:tc>
              <w:tc>
                <w:tcPr>
                  <w:tcW w:w="20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szCs w:val="24"/>
                      <w:lang w:val="en-US" w:eastAsia="zh-CN"/>
                    </w:rPr>
                    <w:t>省特等奖</w:t>
                  </w:r>
                </w:p>
              </w:tc>
              <w:tc>
                <w:tcPr>
                  <w:tcW w:w="106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szCs w:val="24"/>
                      <w:lang w:val="en-US" w:eastAsia="zh-CN"/>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pPr>
                    <w:spacing w:line="420" w:lineRule="exact"/>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CN"/>
                    </w:rPr>
                    <w:t>王徐恋</w:t>
                  </w:r>
                </w:p>
              </w:tc>
              <w:tc>
                <w:tcPr>
                  <w:tcW w:w="4620" w:type="dxa"/>
                  <w:noWrap w:val="0"/>
                  <w:vAlign w:val="center"/>
                </w:tcPr>
                <w:p>
                  <w:pPr>
                    <w:spacing w:line="440" w:lineRule="exact"/>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rPr>
                    <w:t>《路漫而修远，上下而求索》</w:t>
                  </w:r>
                </w:p>
              </w:tc>
              <w:tc>
                <w:tcPr>
                  <w:tcW w:w="2040" w:type="dxa"/>
                  <w:noWrap w:val="0"/>
                  <w:vAlign w:val="center"/>
                </w:tcPr>
                <w:p>
                  <w:pPr>
                    <w:spacing w:line="420" w:lineRule="exact"/>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CN"/>
                    </w:rPr>
                    <w:t>区二等奖</w:t>
                  </w:r>
                </w:p>
              </w:tc>
              <w:tc>
                <w:tcPr>
                  <w:tcW w:w="1065" w:type="dxa"/>
                  <w:noWrap w:val="0"/>
                  <w:vAlign w:val="center"/>
                </w:tcPr>
                <w:p>
                  <w:pPr>
                    <w:spacing w:line="420" w:lineRule="exact"/>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rPr>
                    <w:t>20</w:t>
                  </w:r>
                  <w:r>
                    <w:rPr>
                      <w:rFonts w:ascii="宋体" w:hAnsi="宋体" w:cs="宋体"/>
                      <w:b w:val="0"/>
                      <w:bCs w:val="0"/>
                      <w:sz w:val="24"/>
                    </w:rPr>
                    <w:t>2</w:t>
                  </w:r>
                  <w:r>
                    <w:rPr>
                      <w:rFonts w:hint="eastAsia" w:ascii="宋体" w:hAnsi="宋体" w:cs="宋体"/>
                      <w:b w:val="0"/>
                      <w:bCs w:val="0"/>
                      <w:sz w:val="24"/>
                      <w:lang w:val="en-US" w:eastAsia="zh-CN"/>
                    </w:rPr>
                    <w:t>1</w:t>
                  </w:r>
                  <w:r>
                    <w:rPr>
                      <w:rFonts w:hint="eastAsia" w:ascii="宋体" w:hAnsi="宋体" w:cs="宋体"/>
                      <w:b w:val="0"/>
                      <w:bCs w:val="0"/>
                      <w:sz w:val="24"/>
                    </w:rPr>
                    <w:t>.</w:t>
                  </w:r>
                  <w:r>
                    <w:rPr>
                      <w:rFonts w:hint="eastAsia" w:ascii="宋体" w:hAnsi="宋体" w:cs="宋体"/>
                      <w:b w:val="0"/>
                      <w:bCs w:val="0"/>
                      <w:sz w:val="24"/>
                      <w:lang w:val="en-US" w:eastAsia="zh-CN"/>
                    </w:rPr>
                    <w:t>1</w:t>
                  </w:r>
                  <w:r>
                    <w:rPr>
                      <w:rFonts w:hint="eastAsia" w:ascii="宋体" w:hAnsi="宋体" w:cs="宋体"/>
                      <w:b w:val="0"/>
                      <w:bCs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Calibri" w:hAnsi="Calibri" w:eastAsia="宋体" w:cs="Times New Roman"/>
                      <w:b w:val="0"/>
                      <w:bCs w:val="0"/>
                      <w:kern w:val="2"/>
                      <w:sz w:val="24"/>
                      <w:szCs w:val="24"/>
                      <w:lang w:val="en-US" w:eastAsia="zh-CN" w:bidi="ar-SA"/>
                    </w:rPr>
                  </w:pPr>
                  <w:r>
                    <w:rPr>
                      <w:rFonts w:hint="eastAsia"/>
                      <w:b w:val="0"/>
                      <w:bCs w:val="0"/>
                      <w:sz w:val="24"/>
                      <w:szCs w:val="24"/>
                      <w:lang w:val="en-US" w:eastAsia="zh-CN"/>
                    </w:rPr>
                    <w:t>王丽红</w:t>
                  </w:r>
                </w:p>
              </w:tc>
              <w:tc>
                <w:tcPr>
                  <w:tcW w:w="46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Calibri" w:hAnsi="Calibri" w:eastAsia="宋体" w:cs="Times New Roman"/>
                      <w:b w:val="0"/>
                      <w:bCs w:val="0"/>
                      <w:kern w:val="2"/>
                      <w:sz w:val="24"/>
                      <w:szCs w:val="24"/>
                      <w:lang w:val="en-US" w:eastAsia="zh-CN" w:bidi="ar-SA"/>
                    </w:rPr>
                  </w:pPr>
                  <w:r>
                    <w:rPr>
                      <w:rFonts w:hint="eastAsia"/>
                      <w:b w:val="0"/>
                      <w:bCs w:val="0"/>
                      <w:sz w:val="24"/>
                      <w:szCs w:val="24"/>
                      <w:lang w:val="en-US" w:eastAsia="zh-CN"/>
                    </w:rPr>
                    <w:t>《幼小衔接红色育人可视化路径探索》</w:t>
                  </w:r>
                </w:p>
              </w:tc>
              <w:tc>
                <w:tcPr>
                  <w:tcW w:w="204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ascii="Calibri" w:hAnsi="Calibri" w:eastAsia="宋体" w:cs="Times New Roman"/>
                      <w:b w:val="0"/>
                      <w:bCs w:val="0"/>
                      <w:kern w:val="2"/>
                      <w:sz w:val="24"/>
                      <w:szCs w:val="24"/>
                      <w:lang w:val="en-US" w:eastAsia="zh-CN" w:bidi="ar-SA"/>
                    </w:rPr>
                  </w:pPr>
                  <w:r>
                    <w:rPr>
                      <w:rFonts w:hint="eastAsia" w:cs="Times New Roman"/>
                      <w:b w:val="0"/>
                      <w:bCs w:val="0"/>
                      <w:kern w:val="2"/>
                      <w:sz w:val="24"/>
                      <w:szCs w:val="24"/>
                      <w:lang w:val="en-US" w:eastAsia="zh-CN" w:bidi="ar-SA"/>
                    </w:rPr>
                    <w:t>区二等奖</w:t>
                  </w:r>
                </w:p>
              </w:tc>
              <w:tc>
                <w:tcPr>
                  <w:tcW w:w="1065"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Calibri" w:hAnsi="Calibri" w:eastAsia="宋体" w:cs="Times New Roman"/>
                      <w:b w:val="0"/>
                      <w:bCs w:val="0"/>
                      <w:kern w:val="2"/>
                      <w:sz w:val="24"/>
                      <w:szCs w:val="24"/>
                      <w:lang w:val="en-US" w:eastAsia="zh-CN" w:bidi="ar-SA"/>
                    </w:rPr>
                  </w:pPr>
                  <w:r>
                    <w:rPr>
                      <w:rFonts w:hint="eastAsia"/>
                      <w:b w:val="0"/>
                      <w:bCs w:val="0"/>
                      <w:sz w:val="24"/>
                      <w:szCs w:val="24"/>
                      <w:lang w:val="en-US" w:eastAsia="zh-CN"/>
                    </w:rPr>
                    <w:t>2022.9</w:t>
                  </w:r>
                </w:p>
              </w:tc>
            </w:tr>
          </w:tbl>
          <w:p>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p>
          <w:p>
            <w:pPr>
              <w:keepNext w:val="0"/>
              <w:keepLines w:val="0"/>
              <w:pageBreakBefore w:val="0"/>
              <w:numPr>
                <w:ilvl w:val="0"/>
                <w:numId w:val="3"/>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多篇案例获奖</w:t>
            </w:r>
          </w:p>
          <w:tbl>
            <w:tblPr>
              <w:tblStyle w:val="6"/>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5248"/>
              <w:gridCol w:w="126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作者</w:t>
                  </w:r>
                </w:p>
              </w:tc>
              <w:tc>
                <w:tcPr>
                  <w:tcW w:w="524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案例题目</w:t>
                  </w:r>
                </w:p>
              </w:tc>
              <w:tc>
                <w:tcPr>
                  <w:tcW w:w="126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所获奖项</w:t>
                  </w:r>
                </w:p>
              </w:tc>
              <w:tc>
                <w:tcPr>
                  <w:tcW w:w="118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vertAlign w:val="baseline"/>
                      <w:lang w:val="en-US" w:eastAsia="zh-CN"/>
                    </w:rPr>
                  </w:pPr>
                  <w:r>
                    <w:rPr>
                      <w:rFonts w:hint="eastAsia"/>
                      <w:b w:val="0"/>
                      <w:bCs w:val="0"/>
                      <w:sz w:val="24"/>
                      <w:szCs w:val="24"/>
                      <w:vertAlign w:val="baseline"/>
                      <w:lang w:val="en-US" w:eastAsia="zh-CN"/>
                    </w:rPr>
                    <w:t>周颖、蒋燕娟</w:t>
                  </w:r>
                </w:p>
              </w:tc>
              <w:tc>
                <w:tcPr>
                  <w:tcW w:w="524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《做根正苗红的代英少年》</w:t>
                  </w:r>
                </w:p>
              </w:tc>
              <w:tc>
                <w:tcPr>
                  <w:tcW w:w="126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vertAlign w:val="baseline"/>
                      <w:lang w:val="en-US" w:eastAsia="zh-CN"/>
                    </w:rPr>
                  </w:pPr>
                  <w:r>
                    <w:rPr>
                      <w:rFonts w:hint="eastAsia"/>
                      <w:b w:val="0"/>
                      <w:bCs w:val="0"/>
                      <w:sz w:val="24"/>
                      <w:szCs w:val="24"/>
                      <w:vertAlign w:val="baseline"/>
                      <w:lang w:val="en-US" w:eastAsia="zh-CN"/>
                    </w:rPr>
                    <w:t>区二等奖</w:t>
                  </w:r>
                </w:p>
              </w:tc>
              <w:tc>
                <w:tcPr>
                  <w:tcW w:w="118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sz w:val="24"/>
                      <w:szCs w:val="24"/>
                      <w:vertAlign w:val="baseline"/>
                      <w:lang w:val="en-US" w:eastAsia="zh-CN"/>
                    </w:rPr>
                  </w:pPr>
                  <w:r>
                    <w:rPr>
                      <w:rFonts w:hint="eastAsia"/>
                      <w:b w:val="0"/>
                      <w:bCs w:val="0"/>
                      <w:sz w:val="24"/>
                      <w:szCs w:val="24"/>
                      <w:vertAlign w:val="baseline"/>
                      <w:lang w:val="en-US" w:eastAsia="zh-CN"/>
                    </w:rPr>
                    <w:t>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周颖、王徐恋</w:t>
                  </w:r>
                </w:p>
              </w:tc>
              <w:tc>
                <w:tcPr>
                  <w:tcW w:w="524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《放飞梦想 快乐成长》</w:t>
                  </w:r>
                </w:p>
              </w:tc>
              <w:tc>
                <w:tcPr>
                  <w:tcW w:w="126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区二等奖</w:t>
                  </w:r>
                </w:p>
              </w:tc>
              <w:tc>
                <w:tcPr>
                  <w:tcW w:w="118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b w:val="0"/>
                      <w:bCs w:val="0"/>
                      <w:sz w:val="24"/>
                      <w:szCs w:val="24"/>
                      <w:vertAlign w:val="baseline"/>
                      <w:lang w:val="en-US" w:eastAsia="zh-CN"/>
                    </w:rPr>
                  </w:pPr>
                  <w:r>
                    <w:rPr>
                      <w:rFonts w:hint="eastAsia"/>
                      <w:b w:val="0"/>
                      <w:bCs w:val="0"/>
                      <w:sz w:val="24"/>
                      <w:szCs w:val="24"/>
                      <w:vertAlign w:val="baseline"/>
                      <w:lang w:val="en-US" w:eastAsia="zh-CN"/>
                    </w:rPr>
                    <w:t>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周颖</w:t>
                  </w:r>
                </w:p>
              </w:tc>
              <w:tc>
                <w:tcPr>
                  <w:tcW w:w="524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default"/>
                      <w:sz w:val="24"/>
                      <w:szCs w:val="24"/>
                      <w:vertAlign w:val="baseline"/>
                      <w:lang w:val="en-US" w:eastAsia="zh-CN"/>
                    </w:rPr>
                    <w:t>《课后服务助力“代英利群社”志愿服务站活动实施》</w:t>
                  </w:r>
                </w:p>
              </w:tc>
              <w:tc>
                <w:tcPr>
                  <w:tcW w:w="126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default"/>
                      <w:sz w:val="24"/>
                      <w:szCs w:val="24"/>
                      <w:vertAlign w:val="baseline"/>
                      <w:lang w:val="en-US" w:eastAsia="zh-CN"/>
                    </w:rPr>
                    <w:t>省二等奖</w:t>
                  </w:r>
                </w:p>
              </w:tc>
              <w:tc>
                <w:tcPr>
                  <w:tcW w:w="118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2022.5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周颖</w:t>
                  </w:r>
                </w:p>
              </w:tc>
              <w:tc>
                <w:tcPr>
                  <w:tcW w:w="524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ascii="Calibri" w:hAnsi="Calibri" w:eastAsia="宋体" w:cs="Times New Roman"/>
                      <w:kern w:val="2"/>
                      <w:sz w:val="24"/>
                      <w:szCs w:val="24"/>
                      <w:vertAlign w:val="baseline"/>
                      <w:lang w:val="en-US" w:eastAsia="zh-CN" w:bidi="ar-SA"/>
                    </w:rPr>
                  </w:pPr>
                  <w:r>
                    <w:rPr>
                      <w:rFonts w:hint="default"/>
                      <w:sz w:val="24"/>
                      <w:szCs w:val="24"/>
                      <w:vertAlign w:val="baseline"/>
                      <w:lang w:val="en-US" w:eastAsia="zh-CN"/>
                    </w:rPr>
                    <w:t>《课后服务助力代英特色课程有效实施》</w:t>
                  </w:r>
                </w:p>
              </w:tc>
              <w:tc>
                <w:tcPr>
                  <w:tcW w:w="126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ascii="Calibri" w:hAnsi="Calibri" w:eastAsia="宋体" w:cs="Times New Roman"/>
                      <w:kern w:val="2"/>
                      <w:sz w:val="24"/>
                      <w:szCs w:val="24"/>
                      <w:vertAlign w:val="baseline"/>
                      <w:lang w:val="en-US" w:eastAsia="zh-CN" w:bidi="ar-SA"/>
                    </w:rPr>
                  </w:pPr>
                  <w:r>
                    <w:rPr>
                      <w:rFonts w:hint="default"/>
                      <w:sz w:val="24"/>
                      <w:szCs w:val="24"/>
                      <w:vertAlign w:val="baseline"/>
                      <w:lang w:val="en-US" w:eastAsia="zh-CN"/>
                    </w:rPr>
                    <w:t>区一等奖</w:t>
                  </w:r>
                </w:p>
              </w:tc>
              <w:tc>
                <w:tcPr>
                  <w:tcW w:w="118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2022.5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color w:val="5B9BD5" w:themeColor="accent1"/>
                      <w:sz w:val="24"/>
                      <w:szCs w:val="24"/>
                      <w:vertAlign w:val="baseline"/>
                      <w:lang w:val="en-US" w:eastAsia="zh-CN"/>
                      <w14:textFill>
                        <w14:solidFill>
                          <w14:schemeClr w14:val="accent1"/>
                        </w14:solidFill>
                      </w14:textFill>
                    </w:rPr>
                  </w:pPr>
                  <w:r>
                    <w:rPr>
                      <w:rFonts w:hint="eastAsia"/>
                      <w:color w:val="5B9BD5" w:themeColor="accent1"/>
                      <w:sz w:val="24"/>
                      <w:szCs w:val="24"/>
                      <w:vertAlign w:val="baseline"/>
                      <w:lang w:val="en-US" w:eastAsia="zh-CN"/>
                      <w14:textFill>
                        <w14:solidFill>
                          <w14:schemeClr w14:val="accent1"/>
                        </w14:solidFill>
                      </w14:textFill>
                    </w:rPr>
                    <w:t>王海霞</w:t>
                  </w:r>
                </w:p>
              </w:tc>
              <w:tc>
                <w:tcPr>
                  <w:tcW w:w="524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color w:val="5B9BD5" w:themeColor="accent1"/>
                      <w:sz w:val="24"/>
                      <w:szCs w:val="24"/>
                      <w:vertAlign w:val="baseline"/>
                      <w:lang w:val="en-US" w:eastAsia="zh-CN"/>
                      <w14:textFill>
                        <w14:solidFill>
                          <w14:schemeClr w14:val="accent1"/>
                        </w14:solidFill>
                      </w14:textFill>
                    </w:rPr>
                  </w:pPr>
                  <w:r>
                    <w:rPr>
                      <w:rFonts w:hint="default"/>
                      <w:color w:val="5B9BD5" w:themeColor="accent1"/>
                      <w:sz w:val="24"/>
                      <w:szCs w:val="24"/>
                      <w:vertAlign w:val="baseline"/>
                      <w:lang w:val="en-US" w:eastAsia="zh-CN"/>
                      <w14:textFill>
                        <w14:solidFill>
                          <w14:schemeClr w14:val="accent1"/>
                        </w14:solidFill>
                      </w14:textFill>
                    </w:rPr>
                    <w:t>《都是手机惹的祸？》</w:t>
                  </w:r>
                </w:p>
              </w:tc>
              <w:tc>
                <w:tcPr>
                  <w:tcW w:w="126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color w:val="5B9BD5" w:themeColor="accent1"/>
                      <w:sz w:val="24"/>
                      <w:szCs w:val="24"/>
                      <w:vertAlign w:val="baseline"/>
                      <w:lang w:val="en-US" w:eastAsia="zh-CN"/>
                      <w14:textFill>
                        <w14:solidFill>
                          <w14:schemeClr w14:val="accent1"/>
                        </w14:solidFill>
                      </w14:textFill>
                    </w:rPr>
                  </w:pPr>
                  <w:r>
                    <w:rPr>
                      <w:rFonts w:hint="eastAsia"/>
                      <w:color w:val="5B9BD5" w:themeColor="accent1"/>
                      <w:sz w:val="24"/>
                      <w:szCs w:val="24"/>
                      <w:vertAlign w:val="baseline"/>
                      <w:lang w:val="en-US" w:eastAsia="zh-CN"/>
                      <w14:textFill>
                        <w14:solidFill>
                          <w14:schemeClr w14:val="accent1"/>
                        </w14:solidFill>
                      </w14:textFill>
                    </w:rPr>
                    <w:t>市一等奖</w:t>
                  </w:r>
                </w:p>
              </w:tc>
              <w:tc>
                <w:tcPr>
                  <w:tcW w:w="118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color w:val="5B9BD5" w:themeColor="accent1"/>
                      <w:sz w:val="24"/>
                      <w:szCs w:val="24"/>
                      <w:vertAlign w:val="baseline"/>
                      <w:lang w:val="en-US" w:eastAsia="zh-CN"/>
                      <w14:textFill>
                        <w14:solidFill>
                          <w14:schemeClr w14:val="accent1"/>
                        </w14:solidFill>
                      </w14:textFill>
                    </w:rPr>
                  </w:pPr>
                  <w:r>
                    <w:rPr>
                      <w:rFonts w:hint="eastAsia"/>
                      <w:color w:val="5B9BD5" w:themeColor="accent1"/>
                      <w:sz w:val="24"/>
                      <w:szCs w:val="24"/>
                      <w:vertAlign w:val="baseline"/>
                      <w:lang w:val="en-US" w:eastAsia="zh-CN"/>
                      <w14:textFill>
                        <w14:solidFill>
                          <w14:schemeClr w14:val="accent1"/>
                        </w14:solidFill>
                      </w14:textFill>
                    </w:rPr>
                    <w:t>2022.6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sz w:val="24"/>
                      <w:szCs w:val="24"/>
                      <w:vertAlign w:val="baseline"/>
                      <w:lang w:val="en-US" w:eastAsia="zh-CN"/>
                    </w:rPr>
                  </w:pPr>
                  <w:r>
                    <w:rPr>
                      <w:rFonts w:hint="eastAsia"/>
                      <w:sz w:val="24"/>
                      <w:szCs w:val="24"/>
                      <w:vertAlign w:val="baseline"/>
                      <w:lang w:val="en-US" w:eastAsia="zh-CN"/>
                    </w:rPr>
                    <w:t>王丽红</w:t>
                  </w:r>
                </w:p>
              </w:tc>
              <w:tc>
                <w:tcPr>
                  <w:tcW w:w="524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《依托红色资源构建校本特色课程的策略研究》</w:t>
                  </w:r>
                </w:p>
              </w:tc>
              <w:tc>
                <w:tcPr>
                  <w:tcW w:w="126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sz w:val="24"/>
                      <w:szCs w:val="24"/>
                      <w:vertAlign w:val="baseline"/>
                      <w:lang w:val="en-US" w:eastAsia="zh-CN"/>
                    </w:rPr>
                  </w:pPr>
                  <w:r>
                    <w:rPr>
                      <w:rFonts w:hint="eastAsia"/>
                      <w:sz w:val="24"/>
                      <w:szCs w:val="24"/>
                      <w:vertAlign w:val="baseline"/>
                      <w:lang w:val="en-US" w:eastAsia="zh-CN"/>
                    </w:rPr>
                    <w:t>省一等奖</w:t>
                  </w:r>
                </w:p>
              </w:tc>
              <w:tc>
                <w:tcPr>
                  <w:tcW w:w="1185"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2024.3</w:t>
                  </w:r>
                </w:p>
              </w:tc>
            </w:tr>
          </w:tbl>
          <w:p>
            <w:pPr>
              <w:outlineLvl w:val="0"/>
              <w:rPr>
                <w:rFonts w:hint="eastAsia"/>
              </w:rPr>
            </w:pPr>
          </w:p>
        </w:tc>
      </w:tr>
    </w:tbl>
    <w:p>
      <w:pPr>
        <w:rPr>
          <w:rFonts w:ascii="宋体" w:hAnsi="宋体" w:eastAsia="宋体" w:cs="宋体"/>
          <w:sz w:val="24"/>
          <w:szCs w:val="24"/>
        </w:rPr>
      </w:pPr>
      <w:bookmarkStart w:id="0" w:name="_GoBack"/>
      <w:bookmarkEnd w:id="0"/>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widowControl/>
        <w:shd w:val="clear" w:color="auto" w:fill="FFFFFF"/>
        <w:spacing w:line="520" w:lineRule="exact"/>
        <w:jc w:val="center"/>
        <w:rPr>
          <w:rFonts w:hint="eastAsia" w:ascii="方正小标宋简体" w:hAnsi="华文中宋" w:eastAsia="方正小标宋简体"/>
          <w:kern w:val="0"/>
          <w:sz w:val="44"/>
          <w:szCs w:val="44"/>
        </w:rPr>
      </w:pPr>
      <w:r>
        <w:rPr>
          <w:rFonts w:hint="eastAsia" w:ascii="方正小标宋简体" w:hAnsi="华文中宋" w:eastAsia="方正小标宋简体"/>
          <w:kern w:val="0"/>
          <w:sz w:val="44"/>
          <w:szCs w:val="44"/>
        </w:rPr>
        <w:t>常州市中小学生品格提升工程项目</w:t>
      </w:r>
    </w:p>
    <w:p>
      <w:pPr>
        <w:widowControl/>
        <w:shd w:val="clear" w:color="auto" w:fill="FFFFFF"/>
        <w:spacing w:line="520" w:lineRule="exact"/>
        <w:jc w:val="center"/>
        <w:rPr>
          <w:rFonts w:ascii="方正小标宋简体" w:hAnsi="华文中宋" w:eastAsia="方正小标宋简体"/>
          <w:kern w:val="0"/>
          <w:sz w:val="44"/>
          <w:szCs w:val="44"/>
        </w:rPr>
      </w:pPr>
      <w:r>
        <w:rPr>
          <w:rFonts w:hint="eastAsia" w:ascii="方正小标宋简体" w:hAnsi="华文中宋" w:eastAsia="方正小标宋简体"/>
          <w:kern w:val="0"/>
          <w:sz w:val="44"/>
          <w:szCs w:val="44"/>
        </w:rPr>
        <w:t>结项成果报告</w:t>
      </w: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jc w:val="center"/>
      </w:pPr>
    </w:p>
    <w:p>
      <w:pPr>
        <w:spacing w:line="500" w:lineRule="exact"/>
        <w:ind w:firstLine="1606" w:firstLineChars="500"/>
        <w:rPr>
          <w:rFonts w:hint="eastAsia"/>
          <w:b/>
          <w:sz w:val="32"/>
          <w:szCs w:val="32"/>
          <w:u w:val="single"/>
        </w:rPr>
      </w:pPr>
      <w:r>
        <w:rPr>
          <w:rFonts w:hint="eastAsia"/>
          <w:b/>
          <w:sz w:val="32"/>
          <w:szCs w:val="32"/>
        </w:rPr>
        <w:t>项目单位：</w:t>
      </w:r>
      <w:r>
        <w:rPr>
          <w:b/>
          <w:sz w:val="32"/>
          <w:szCs w:val="32"/>
          <w:u w:val="single"/>
        </w:rPr>
        <w:t xml:space="preserve"> </w:t>
      </w:r>
      <w:r>
        <w:rPr>
          <w:rFonts w:hint="eastAsia"/>
          <w:b/>
          <w:sz w:val="32"/>
          <w:szCs w:val="32"/>
          <w:u w:val="single"/>
          <w:lang w:val="en-US" w:eastAsia="zh-CN"/>
        </w:rPr>
        <w:t>常州市新北区龙虎塘第二实验小学</w:t>
      </w:r>
    </w:p>
    <w:p>
      <w:pPr>
        <w:spacing w:line="500" w:lineRule="exact"/>
        <w:ind w:firstLine="2088" w:firstLineChars="650"/>
        <w:rPr>
          <w:rFonts w:hint="eastAsia"/>
          <w:b/>
          <w:sz w:val="32"/>
          <w:szCs w:val="32"/>
          <w:u w:val="single"/>
        </w:rPr>
      </w:pPr>
    </w:p>
    <w:p>
      <w:pPr>
        <w:spacing w:line="500" w:lineRule="exact"/>
        <w:ind w:firstLine="1606" w:firstLineChars="500"/>
        <w:rPr>
          <w:rFonts w:hint="default" w:eastAsia="宋体"/>
          <w:b/>
          <w:sz w:val="32"/>
          <w:szCs w:val="32"/>
          <w:u w:val="single"/>
          <w:lang w:val="en-US" w:eastAsia="zh-CN"/>
        </w:rPr>
      </w:pPr>
      <w:r>
        <w:rPr>
          <w:rFonts w:hint="eastAsia"/>
          <w:b/>
          <w:sz w:val="32"/>
          <w:szCs w:val="32"/>
        </w:rPr>
        <w:t>日    期：</w:t>
      </w:r>
      <w:r>
        <w:rPr>
          <w:b/>
          <w:sz w:val="32"/>
          <w:szCs w:val="32"/>
          <w:u w:val="single"/>
        </w:rPr>
        <w:t xml:space="preserve"> </w:t>
      </w:r>
      <w:r>
        <w:rPr>
          <w:rFonts w:hint="eastAsia"/>
          <w:b/>
          <w:sz w:val="32"/>
          <w:szCs w:val="32"/>
          <w:u w:val="single"/>
          <w:lang w:val="en-US" w:eastAsia="zh-CN"/>
        </w:rPr>
        <w:t>2024年3月8日</w:t>
      </w:r>
      <w:r>
        <w:rPr>
          <w:b/>
          <w:sz w:val="32"/>
          <w:szCs w:val="32"/>
          <w:u w:val="single"/>
        </w:rPr>
        <w:t xml:space="preserve">              </w:t>
      </w:r>
      <w:r>
        <w:rPr>
          <w:rFonts w:hint="eastAsia"/>
          <w:b/>
          <w:sz w:val="32"/>
          <w:szCs w:val="32"/>
          <w:u w:val="single"/>
          <w:lang w:val="en-US" w:eastAsia="zh-CN"/>
        </w:rPr>
        <w:t xml:space="preserve">  </w:t>
      </w:r>
    </w:p>
    <w:p>
      <w:pPr>
        <w:spacing w:line="500" w:lineRule="exact"/>
        <w:ind w:firstLine="2088" w:firstLineChars="650"/>
        <w:rPr>
          <w:b/>
          <w:sz w:val="32"/>
          <w:szCs w:val="32"/>
          <w:u w:val="single"/>
        </w:rPr>
      </w:pPr>
    </w:p>
    <w:p>
      <w:pPr>
        <w:spacing w:line="500" w:lineRule="exact"/>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r>
        <w:rPr>
          <w:rFonts w:hint="eastAsia"/>
          <w:b/>
          <w:sz w:val="36"/>
          <w:szCs w:val="36"/>
        </w:rPr>
        <w:t>常州市教育局</w:t>
      </w:r>
      <w:r>
        <w:rPr>
          <w:b/>
          <w:sz w:val="36"/>
          <w:szCs w:val="36"/>
        </w:rPr>
        <w:t xml:space="preserve"> </w:t>
      </w:r>
    </w:p>
    <w:p>
      <w:pPr>
        <w:spacing w:line="500" w:lineRule="exact"/>
        <w:rPr>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b/>
          <w:sz w:val="32"/>
          <w:szCs w:val="32"/>
        </w:rPr>
      </w:pPr>
      <w:r>
        <w:rPr>
          <w:rFonts w:hint="eastAsia"/>
          <w:b/>
          <w:sz w:val="32"/>
          <w:szCs w:val="32"/>
        </w:rPr>
        <w:t>项目基本情况及建设成果</w:t>
      </w:r>
    </w:p>
    <w:p>
      <w:pPr>
        <w:spacing w:line="500" w:lineRule="exact"/>
        <w:jc w:val="center"/>
        <w:rPr>
          <w:b/>
          <w:sz w:val="32"/>
          <w:szCs w:val="32"/>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120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pPr>
              <w:spacing w:line="500" w:lineRule="exact"/>
              <w:jc w:val="center"/>
              <w:rPr>
                <w:rFonts w:ascii="黑体" w:hAnsi="宋体" w:eastAsia="黑体"/>
                <w:sz w:val="24"/>
              </w:rPr>
            </w:pPr>
            <w:r>
              <w:rPr>
                <w:rFonts w:hint="eastAsia" w:ascii="黑体" w:hAnsi="宋体" w:eastAsia="黑体"/>
                <w:sz w:val="24"/>
              </w:rPr>
              <w:t>项</w:t>
            </w:r>
            <w:r>
              <w:rPr>
                <w:rFonts w:ascii="黑体" w:hAnsi="宋体" w:eastAsia="黑体"/>
                <w:sz w:val="24"/>
              </w:rPr>
              <w:t xml:space="preserve"> </w:t>
            </w:r>
            <w:r>
              <w:rPr>
                <w:rFonts w:hint="eastAsia" w:ascii="黑体" w:hAnsi="宋体" w:eastAsia="黑体"/>
                <w:sz w:val="24"/>
              </w:rPr>
              <w:t>目</w:t>
            </w:r>
            <w:r>
              <w:rPr>
                <w:rFonts w:ascii="黑体" w:hAnsi="宋体" w:eastAsia="黑体"/>
                <w:sz w:val="24"/>
              </w:rPr>
              <w:t xml:space="preserve"> </w:t>
            </w:r>
            <w:r>
              <w:rPr>
                <w:rFonts w:hint="eastAsia" w:ascii="黑体" w:hAnsi="宋体" w:eastAsia="黑体"/>
                <w:sz w:val="24"/>
              </w:rPr>
              <w:t>名</w:t>
            </w:r>
            <w:r>
              <w:rPr>
                <w:rFonts w:ascii="黑体" w:hAnsi="宋体" w:eastAsia="黑体"/>
                <w:sz w:val="24"/>
              </w:rPr>
              <w:t xml:space="preserve"> </w:t>
            </w:r>
            <w:r>
              <w:rPr>
                <w:rFonts w:hint="eastAsia" w:ascii="黑体" w:hAnsi="宋体" w:eastAsia="黑体"/>
                <w:sz w:val="24"/>
              </w:rPr>
              <w:t>称</w:t>
            </w:r>
          </w:p>
        </w:tc>
        <w:tc>
          <w:tcPr>
            <w:tcW w:w="5462" w:type="dxa"/>
            <w:gridSpan w:val="3"/>
            <w:noWrap w:val="0"/>
            <w:vAlign w:val="center"/>
          </w:tcPr>
          <w:p>
            <w:pPr>
              <w:spacing w:line="500" w:lineRule="exact"/>
              <w:jc w:val="center"/>
              <w:rPr>
                <w:rFonts w:hint="default" w:ascii="宋体" w:eastAsia="宋体"/>
                <w:sz w:val="24"/>
                <w:lang w:val="en-US" w:eastAsia="zh-CN"/>
              </w:rPr>
            </w:pPr>
            <w:r>
              <w:rPr>
                <w:rFonts w:hint="eastAsia" w:ascii="宋体"/>
                <w:sz w:val="24"/>
                <w:lang w:val="en-US" w:eastAsia="zh-CN"/>
              </w:rPr>
              <w:t>培育弘雅品格的多维场域建构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pPr>
              <w:spacing w:line="500" w:lineRule="exact"/>
              <w:jc w:val="center"/>
              <w:rPr>
                <w:rFonts w:ascii="黑体" w:hAnsi="宋体" w:eastAsia="黑体"/>
                <w:sz w:val="24"/>
              </w:rPr>
            </w:pPr>
            <w:r>
              <w:rPr>
                <w:rFonts w:hint="eastAsia" w:ascii="黑体" w:hAnsi="宋体" w:eastAsia="黑体"/>
                <w:sz w:val="24"/>
              </w:rPr>
              <w:t>责任人</w:t>
            </w:r>
          </w:p>
        </w:tc>
        <w:tc>
          <w:tcPr>
            <w:tcW w:w="1200" w:type="dxa"/>
            <w:noWrap w:val="0"/>
            <w:vAlign w:val="center"/>
          </w:tcPr>
          <w:p>
            <w:pPr>
              <w:spacing w:line="500" w:lineRule="exact"/>
              <w:jc w:val="center"/>
              <w:rPr>
                <w:rFonts w:ascii="黑体" w:hAnsi="宋体" w:eastAsia="黑体"/>
                <w:sz w:val="24"/>
              </w:rPr>
            </w:pPr>
            <w:r>
              <w:rPr>
                <w:rFonts w:hint="eastAsia" w:ascii="黑体" w:hAnsi="宋体" w:eastAsia="黑体"/>
                <w:sz w:val="24"/>
              </w:rPr>
              <w:t>姓名</w:t>
            </w:r>
          </w:p>
        </w:tc>
        <w:tc>
          <w:tcPr>
            <w:tcW w:w="2131" w:type="dxa"/>
            <w:noWrap w:val="0"/>
            <w:vAlign w:val="center"/>
          </w:tcPr>
          <w:p>
            <w:pPr>
              <w:spacing w:line="500" w:lineRule="exact"/>
              <w:jc w:val="center"/>
              <w:rPr>
                <w:rFonts w:ascii="黑体" w:hAnsi="宋体" w:eastAsia="黑体"/>
                <w:sz w:val="24"/>
              </w:rPr>
            </w:pPr>
            <w:r>
              <w:rPr>
                <w:rFonts w:hint="eastAsia" w:ascii="黑体" w:hAnsi="宋体" w:eastAsia="黑体"/>
                <w:sz w:val="24"/>
              </w:rPr>
              <w:t>职务</w:t>
            </w:r>
          </w:p>
        </w:tc>
        <w:tc>
          <w:tcPr>
            <w:tcW w:w="2131" w:type="dxa"/>
            <w:noWrap w:val="0"/>
            <w:vAlign w:val="center"/>
          </w:tcPr>
          <w:p>
            <w:pPr>
              <w:spacing w:line="500" w:lineRule="exact"/>
              <w:jc w:val="center"/>
              <w:rPr>
                <w:rFonts w:ascii="黑体" w:hAnsi="宋体" w:eastAsia="黑体"/>
                <w:sz w:val="24"/>
              </w:rPr>
            </w:pPr>
            <w:r>
              <w:rPr>
                <w:rFonts w:hint="eastAsia" w:ascii="黑体" w:hAnsi="宋体" w:eastAsia="黑体"/>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88" w:type="dxa"/>
            <w:noWrap w:val="0"/>
            <w:vAlign w:val="center"/>
          </w:tcPr>
          <w:p>
            <w:pPr>
              <w:spacing w:line="500" w:lineRule="exact"/>
              <w:jc w:val="center"/>
              <w:rPr>
                <w:rFonts w:ascii="宋体"/>
                <w:sz w:val="24"/>
              </w:rPr>
            </w:pPr>
            <w:r>
              <w:rPr>
                <w:rFonts w:hint="eastAsia" w:ascii="黑体" w:hAnsi="宋体" w:eastAsia="黑体"/>
                <w:sz w:val="24"/>
              </w:rPr>
              <w:t>项目负责人</w:t>
            </w:r>
          </w:p>
        </w:tc>
        <w:tc>
          <w:tcPr>
            <w:tcW w:w="1200" w:type="dxa"/>
            <w:noWrap w:val="0"/>
            <w:vAlign w:val="center"/>
          </w:tcPr>
          <w:p>
            <w:pPr>
              <w:spacing w:line="500" w:lineRule="exact"/>
              <w:jc w:val="center"/>
              <w:rPr>
                <w:rFonts w:hint="eastAsia" w:ascii="宋体" w:eastAsia="宋体"/>
                <w:sz w:val="24"/>
                <w:lang w:val="en-US" w:eastAsia="zh-CN"/>
              </w:rPr>
            </w:pPr>
            <w:r>
              <w:rPr>
                <w:rFonts w:hint="eastAsia" w:ascii="宋体"/>
                <w:sz w:val="24"/>
                <w:lang w:val="en-US" w:eastAsia="zh-CN"/>
              </w:rPr>
              <w:t>张丽娟</w:t>
            </w:r>
          </w:p>
        </w:tc>
        <w:tc>
          <w:tcPr>
            <w:tcW w:w="2131" w:type="dxa"/>
            <w:noWrap w:val="0"/>
            <w:vAlign w:val="center"/>
          </w:tcPr>
          <w:p>
            <w:pPr>
              <w:spacing w:line="500" w:lineRule="exact"/>
              <w:jc w:val="center"/>
              <w:rPr>
                <w:rFonts w:hint="eastAsia" w:ascii="宋体" w:eastAsia="宋体"/>
                <w:sz w:val="24"/>
                <w:lang w:val="en-US" w:eastAsia="zh-CN"/>
              </w:rPr>
            </w:pPr>
            <w:r>
              <w:rPr>
                <w:rFonts w:hint="eastAsia" w:ascii="宋体"/>
                <w:sz w:val="24"/>
                <w:lang w:val="en-US" w:eastAsia="zh-CN"/>
              </w:rPr>
              <w:t>校长</w:t>
            </w:r>
          </w:p>
        </w:tc>
        <w:tc>
          <w:tcPr>
            <w:tcW w:w="2131" w:type="dxa"/>
            <w:noWrap w:val="0"/>
            <w:vAlign w:val="center"/>
          </w:tcPr>
          <w:p>
            <w:pPr>
              <w:spacing w:line="500" w:lineRule="exact"/>
              <w:jc w:val="center"/>
              <w:rPr>
                <w:rFonts w:ascii="宋体"/>
                <w:sz w:val="24"/>
              </w:rPr>
            </w:pPr>
            <w:r>
              <w:rPr>
                <w:rFonts w:hint="eastAsia" w:ascii="宋体"/>
                <w:sz w:val="24"/>
              </w:rPr>
              <w:t>13912310609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450" w:type="dxa"/>
            <w:gridSpan w:val="4"/>
            <w:noWrap w:val="0"/>
            <w:vAlign w:val="center"/>
          </w:tcPr>
          <w:p>
            <w:pPr>
              <w:spacing w:line="500" w:lineRule="exact"/>
              <w:jc w:val="center"/>
              <w:rPr>
                <w:rFonts w:ascii="黑体" w:hAnsi="宋体" w:eastAsia="黑体"/>
                <w:sz w:val="24"/>
              </w:rPr>
            </w:pPr>
            <w:r>
              <w:rPr>
                <w:rFonts w:hint="eastAsia" w:eastAsia="黑体"/>
                <w:b/>
                <w:sz w:val="32"/>
                <w:szCs w:val="32"/>
              </w:rPr>
              <w:t>总结性成果报告（</w:t>
            </w:r>
            <w:r>
              <w:rPr>
                <w:rFonts w:ascii="仿宋_GB2312" w:eastAsia="仿宋_GB2312"/>
                <w:b/>
                <w:sz w:val="24"/>
              </w:rPr>
              <w:t>5000</w:t>
            </w:r>
            <w:r>
              <w:rPr>
                <w:rFonts w:hint="eastAsia" w:ascii="仿宋_GB2312" w:eastAsia="仿宋_GB2312"/>
                <w:b/>
                <w:sz w:val="24"/>
              </w:rPr>
              <w:t>字左右</w:t>
            </w:r>
            <w:r>
              <w:rPr>
                <w:rFonts w:hint="eastAsia" w:eastAsia="黑体"/>
                <w:b/>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6" w:hRule="atLeast"/>
        </w:trPr>
        <w:tc>
          <w:tcPr>
            <w:tcW w:w="8450" w:type="dxa"/>
            <w:gridSpan w:val="4"/>
            <w:noWrap w:val="0"/>
            <w:vAlign w:val="center"/>
          </w:tcPr>
          <w:p>
            <w:pPr>
              <w:pStyle w:val="4"/>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2019年8月28日，龙虎塘第二实验小学启用，传统与现代共生的地域特色促使我们进行学校文化落地与学生品格培养的整体思考。2021年4月，我校《培育弘雅品格的多维场域建构》这一项目成功申报为常州市中小学品格提升工程项目。2021年6月1日，市委书记陈金虎等市四套班子领导专程来到我校，参加“童心品诗韵 筑梦新时代”庆祝“六一”主题活动，本次活动也是我校面向全市开放的项目阶段成果展示活动。2022年2月，项目参加中期评估。三年多来，我校紧紧围绕项目建设要求，不断完善，努力突破，寻求攀升，按照整体设计、项目实施、评估推进的路径，扎实推进。</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背景与内涵</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基于发展视角，清晰项目价值</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80"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val="0"/>
                <w:bCs w:val="0"/>
                <w:color w:val="auto"/>
                <w:kern w:val="0"/>
                <w:sz w:val="24"/>
                <w:szCs w:val="24"/>
                <w:lang w:val="en-US" w:eastAsia="zh-CN"/>
              </w:rPr>
              <w:drawing>
                <wp:anchor distT="0" distB="0" distL="114300" distR="114300" simplePos="0" relativeHeight="251666432" behindDoc="0" locked="0" layoutInCell="1" allowOverlap="1">
                  <wp:simplePos x="0" y="0"/>
                  <wp:positionH relativeFrom="column">
                    <wp:posOffset>3182620</wp:posOffset>
                  </wp:positionH>
                  <wp:positionV relativeFrom="paragraph">
                    <wp:posOffset>2486025</wp:posOffset>
                  </wp:positionV>
                  <wp:extent cx="2066925" cy="2000885"/>
                  <wp:effectExtent l="0" t="0" r="3175" b="5715"/>
                  <wp:wrapSquare wrapText="bothSides"/>
                  <wp:docPr id="25" name="图片 2" descr="1H02EOJXH~G1SDA~GZM1$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1H02EOJXH~G1SDA~GZM1$XV"/>
                          <pic:cNvPicPr>
                            <a:picLocks noChangeAspect="1"/>
                          </pic:cNvPicPr>
                        </pic:nvPicPr>
                        <pic:blipFill>
                          <a:blip r:embed="rId28"/>
                          <a:stretch>
                            <a:fillRect/>
                          </a:stretch>
                        </pic:blipFill>
                        <pic:spPr>
                          <a:xfrm>
                            <a:off x="0" y="0"/>
                            <a:ext cx="2066925" cy="2000885"/>
                          </a:xfrm>
                          <a:prstGeom prst="rect">
                            <a:avLst/>
                          </a:prstGeom>
                          <a:noFill/>
                          <a:ln>
                            <a:noFill/>
                          </a:ln>
                        </pic:spPr>
                      </pic:pic>
                    </a:graphicData>
                  </a:graphic>
                </wp:anchor>
              </w:drawing>
            </w:r>
            <w:r>
              <w:rPr>
                <w:rFonts w:hint="eastAsia" w:ascii="仿宋" w:hAnsi="仿宋" w:eastAsia="仿宋" w:cs="仿宋"/>
                <w:sz w:val="24"/>
                <w:szCs w:val="24"/>
              </w:rPr>
              <w:t>在国家课程校本化实施的同时，我们结合学校历史渊源、借助地方“智能传感小镇”科创特色</w:t>
            </w:r>
            <w:r>
              <w:rPr>
                <w:rFonts w:hint="eastAsia" w:ascii="仿宋" w:hAnsi="仿宋" w:eastAsia="仿宋" w:cs="仿宋"/>
                <w:sz w:val="24"/>
                <w:szCs w:val="24"/>
                <w:lang w:val="en-US" w:eastAsia="zh-CN"/>
              </w:rPr>
              <w:t>以及校外各场域资源，</w:t>
            </w:r>
            <w:r>
              <w:rPr>
                <w:rFonts w:hint="eastAsia" w:ascii="仿宋" w:hAnsi="仿宋" w:eastAsia="仿宋" w:cs="仿宋"/>
                <w:bCs/>
                <w:sz w:val="24"/>
                <w:szCs w:val="24"/>
              </w:rPr>
              <w:t>以“经典、创生、融通”为原则，</w:t>
            </w:r>
            <w:r>
              <w:rPr>
                <w:rFonts w:hint="eastAsia" w:ascii="仿宋" w:hAnsi="仿宋" w:eastAsia="仿宋" w:cs="仿宋"/>
                <w:sz w:val="24"/>
                <w:szCs w:val="24"/>
              </w:rPr>
              <w:t>拓展性开发了特色</w:t>
            </w:r>
            <w:r>
              <w:rPr>
                <w:rFonts w:hint="eastAsia" w:ascii="仿宋" w:hAnsi="仿宋" w:eastAsia="仿宋" w:cs="仿宋"/>
                <w:sz w:val="24"/>
                <w:szCs w:val="24"/>
                <w:lang w:val="en-US" w:eastAsia="zh-CN"/>
              </w:rPr>
              <w:t>课程：</w:t>
            </w:r>
            <w:r>
              <w:rPr>
                <w:rFonts w:hint="eastAsia" w:ascii="仿宋" w:hAnsi="仿宋" w:eastAsia="仿宋" w:cs="仿宋"/>
                <w:sz w:val="24"/>
                <w:szCs w:val="24"/>
              </w:rPr>
              <w:t>“少儿国学”注重中华优秀传统文化，培养孩子的文化自信；“少年硅谷”注重科技特色，让孩子面向未来；“少儿玩伴”注重团队建设，在合作探究中培养学生的领导力。</w:t>
            </w:r>
            <w:r>
              <w:rPr>
                <w:rFonts w:hint="eastAsia" w:ascii="仿宋" w:hAnsi="仿宋" w:eastAsia="仿宋" w:cs="仿宋"/>
                <w:color w:val="auto"/>
                <w:sz w:val="24"/>
                <w:szCs w:val="24"/>
                <w:lang w:val="en-US" w:eastAsia="zh-CN"/>
              </w:rPr>
              <w:t>在已有“三少”特色课程的基础之上，我们围绕文化自信，开发中华</w:t>
            </w:r>
            <w:r>
              <w:rPr>
                <w:rFonts w:hint="eastAsia" w:ascii="仿宋" w:hAnsi="仿宋" w:eastAsia="仿宋" w:cs="仿宋"/>
                <w:b w:val="0"/>
                <w:bCs/>
                <w:color w:val="auto"/>
                <w:sz w:val="24"/>
                <w:szCs w:val="24"/>
                <w:lang w:eastAsia="zh-CN"/>
              </w:rPr>
              <w:t>优秀传统文化、红色革命文化、</w:t>
            </w:r>
            <w:r>
              <w:rPr>
                <w:rFonts w:hint="eastAsia" w:ascii="仿宋" w:hAnsi="仿宋" w:eastAsia="仿宋" w:cs="仿宋"/>
                <w:b w:val="0"/>
                <w:bCs/>
                <w:color w:val="auto"/>
                <w:sz w:val="24"/>
                <w:szCs w:val="24"/>
                <w:lang w:val="en-US" w:eastAsia="zh-CN"/>
              </w:rPr>
              <w:t>社会主义先进文化这三大场域的德育活动内容体系。在项目推进中越来越清晰其价值：一是能够呼应新时代对德育工作环境育人、文化育人、活动育人、实践育人等具体要求，将立德树人与学校文化建设有机融合，促进全员育人，建立家校社企政有机衔接的协同育人机制。二是有助于促进学生弘雅品格培育的效能，将涉及家校社企政的多主体力量、多维时空纳入学校育人体系，打造融通校内外的学生弘雅品格培育场域。三是有助于在实践研究中传承学校文化，更新学校育人机制与样态，建立可持续发展的育人生态，形成学校品牌。</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明晰项目核心概念的内涵界定</w:t>
            </w:r>
          </w:p>
          <w:p>
            <w:pPr>
              <w:keepNext w:val="0"/>
              <w:keepLines w:val="0"/>
              <w:pageBreakBefore w:val="0"/>
              <w:kinsoku/>
              <w:wordWrap/>
              <w:overflowPunct/>
              <w:topLinePunct w:val="0"/>
              <w:autoSpaceDE/>
              <w:autoSpaceDN/>
              <w:bidi w:val="0"/>
              <w:spacing w:line="340" w:lineRule="exact"/>
              <w:ind w:firstLine="482" w:firstLineChars="200"/>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bCs/>
                <w:color w:val="auto"/>
                <w:kern w:val="0"/>
                <w:sz w:val="24"/>
                <w:szCs w:val="24"/>
                <w:lang w:val="en-US" w:eastAsia="zh-CN"/>
              </w:rPr>
              <w:t>弘雅品格：</w:t>
            </w:r>
            <w:r>
              <w:rPr>
                <w:rFonts w:hint="eastAsia" w:ascii="仿宋" w:hAnsi="仿宋" w:eastAsia="仿宋" w:cs="仿宋"/>
                <w:b w:val="0"/>
                <w:bCs w:val="0"/>
                <w:color w:val="auto"/>
                <w:kern w:val="0"/>
                <w:sz w:val="24"/>
                <w:szCs w:val="24"/>
                <w:lang w:val="en-US" w:eastAsia="zh-CN"/>
              </w:rPr>
              <w:t>弘者，大也。雅者，正也，含高尚的，美好的意思。弘雅代表着高洁的德行，代表着大胸怀、大格局的价值观与实践行动。对学生而言，弘雅品格是指具备具有深厚的家国情怀、远大的志向和高雅的品行，做事敢担当、善思考、有智慧、有韧性的品格。弘雅品格是我校对中国学生核心素养的校本化体现和聚焦，是在培养全面发展的人的背景之下关于学生培养的特色化目标，包含有理想、重品行、高品位、善学习、勇探究、乐创新、爱劳动、会生活等九大要素。</w:t>
            </w:r>
          </w:p>
          <w:p>
            <w:pPr>
              <w:keepNext w:val="0"/>
              <w:keepLines w:val="0"/>
              <w:pageBreakBefore w:val="0"/>
              <w:kinsoku/>
              <w:wordWrap/>
              <w:overflowPunct/>
              <w:topLinePunct w:val="0"/>
              <w:autoSpaceDE/>
              <w:autoSpaceDN/>
              <w:bidi w:val="0"/>
              <w:spacing w:line="340" w:lineRule="exact"/>
              <w:ind w:firstLine="482"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kern w:val="0"/>
                <w:sz w:val="24"/>
                <w:szCs w:val="24"/>
              </w:rPr>
              <w:t>多维场域：</w:t>
            </w:r>
            <w:r>
              <w:rPr>
                <w:rFonts w:hint="eastAsia" w:ascii="仿宋" w:hAnsi="仿宋" w:eastAsia="仿宋" w:cs="仿宋"/>
                <w:b w:val="0"/>
                <w:bCs w:val="0"/>
                <w:color w:val="auto"/>
                <w:kern w:val="0"/>
                <w:sz w:val="24"/>
                <w:szCs w:val="24"/>
              </w:rPr>
              <w:t>指融通家庭、学校、社区、企业等多维物型空间，是学生活动及弘雅课程实施的校内外空间，也是学生弘雅品格培育</w:t>
            </w:r>
            <w:r>
              <w:rPr>
                <w:rFonts w:hint="eastAsia" w:ascii="仿宋" w:hAnsi="仿宋" w:eastAsia="仿宋" w:cs="仿宋"/>
                <w:b w:val="0"/>
                <w:bCs w:val="0"/>
                <w:color w:val="auto"/>
                <w:kern w:val="0"/>
                <w:sz w:val="24"/>
                <w:szCs w:val="24"/>
                <w:lang w:val="en-US" w:eastAsia="zh-CN"/>
              </w:rPr>
              <w:t>的</w:t>
            </w:r>
            <w:r>
              <w:rPr>
                <w:rFonts w:hint="eastAsia" w:ascii="仿宋" w:hAnsi="仿宋" w:eastAsia="仿宋" w:cs="仿宋"/>
                <w:b w:val="0"/>
                <w:bCs w:val="0"/>
                <w:color w:val="auto"/>
                <w:kern w:val="0"/>
                <w:sz w:val="24"/>
                <w:szCs w:val="24"/>
              </w:rPr>
              <w:t>综合性、开放性的实践场</w:t>
            </w:r>
            <w:r>
              <w:rPr>
                <w:rFonts w:hint="eastAsia" w:ascii="仿宋" w:hAnsi="仿宋" w:eastAsia="仿宋" w:cs="仿宋"/>
                <w:b w:val="0"/>
                <w:bCs w:val="0"/>
                <w:color w:val="auto"/>
                <w:kern w:val="0"/>
                <w:sz w:val="24"/>
                <w:szCs w:val="24"/>
                <w:lang w:val="en-US" w:eastAsia="zh-CN"/>
              </w:rPr>
              <w:t>域</w:t>
            </w:r>
            <w:r>
              <w:rPr>
                <w:rFonts w:hint="eastAsia" w:ascii="仿宋" w:hAnsi="仿宋" w:eastAsia="仿宋" w:cs="仿宋"/>
                <w:b w:val="0"/>
                <w:bCs w:val="0"/>
                <w:color w:val="auto"/>
                <w:kern w:val="0"/>
                <w:sz w:val="24"/>
                <w:szCs w:val="24"/>
              </w:rPr>
              <w:t>。在这些场域中，有陪伴学生成长的同伴、家长、老师和社区人士等“重要他人”的参与。</w:t>
            </w:r>
            <w:r>
              <w:rPr>
                <w:rFonts w:hint="eastAsia" w:ascii="仿宋" w:hAnsi="仿宋" w:eastAsia="仿宋" w:cs="仿宋"/>
                <w:b w:val="0"/>
                <w:bCs w:val="0"/>
                <w:color w:val="auto"/>
                <w:kern w:val="0"/>
                <w:sz w:val="24"/>
                <w:szCs w:val="24"/>
                <w:lang w:val="en-US" w:eastAsia="zh-CN"/>
              </w:rPr>
              <w:t>从系统运作的时空来看，包含了融通学生生活的家校社空间及贯通学生生活的学期与假期时间；从参与主体来看，包含了家校社企政多元主体及各主体间丰富复杂的互动关系与样态；从参与方式来看，更加注重学生在真实情境中的实践体验，注重家校社企政多主体间的协同合作；从涉及领域来看，更加注重各学科的综合融通，注重学科育人价值的多维深度挖掘。综上所述，多维场域具有丰富性、多元性、贯通性和交互性的特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3.指向师生成长，设定项目目标</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jc w:val="left"/>
              <w:textAlignment w:val="auto"/>
              <w:rPr>
                <w:rFonts w:hint="eastAsia" w:ascii="仿宋" w:hAnsi="仿宋" w:eastAsia="仿宋" w:cs="仿宋"/>
                <w:b/>
                <w:color w:val="auto"/>
                <w:kern w:val="0"/>
                <w:sz w:val="24"/>
                <w:szCs w:val="24"/>
              </w:rPr>
            </w:pPr>
            <w:r>
              <w:rPr>
                <w:rFonts w:hint="eastAsia" w:ascii="仿宋" w:hAnsi="仿宋" w:eastAsia="仿宋" w:cs="仿宋"/>
                <w:b w:val="0"/>
                <w:bCs w:val="0"/>
                <w:i w:val="0"/>
                <w:iCs w:val="0"/>
                <w:color w:val="auto"/>
                <w:sz w:val="24"/>
                <w:szCs w:val="24"/>
                <w:lang w:val="en-US" w:eastAsia="zh-CN"/>
              </w:rPr>
              <w:t>当理念一旦明晰，项目建设的目标就随之更清晰了，我们始终立足于学生发展、教师发展、课程发展等综合融通的角度，着力于以下目标的达成：</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一是建设培育弘雅品格的物型空间。</w:t>
            </w:r>
            <w:r>
              <w:rPr>
                <w:rFonts w:hint="eastAsia" w:ascii="仿宋" w:hAnsi="仿宋" w:eastAsia="仿宋" w:cs="仿宋"/>
                <w:color w:val="auto"/>
                <w:sz w:val="24"/>
                <w:szCs w:val="24"/>
                <w:lang w:val="en-US" w:eastAsia="zh-CN"/>
              </w:rPr>
              <w:t>学校立足于引导学生传承中华优秀传统文化、红色革命文化和社会主义先进文化这三大文化，着力资源的创意开发，从主题学习场馆、校园生活空间和校外特色资源三大领域入手，建构内外联动的德育体验的物型空间。</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二是开发培育弘雅品格的场域课程。</w:t>
            </w:r>
            <w:r>
              <w:rPr>
                <w:rFonts w:hint="eastAsia" w:ascii="仿宋" w:hAnsi="仿宋" w:eastAsia="仿宋" w:cs="仿宋"/>
                <w:b w:val="0"/>
                <w:bCs w:val="0"/>
                <w:color w:val="auto"/>
                <w:sz w:val="24"/>
                <w:szCs w:val="24"/>
                <w:lang w:val="en-US" w:eastAsia="zh-CN"/>
              </w:rPr>
              <w:t>在构建基于上述三大文化的校内外物型空间的基础上，根据空间特色资源及学生成长需求，开发与之匹配的相应德育课程，进而完善学校校本德育课程。</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三是探索学生弘雅品格提升的活动范式。</w:t>
            </w:r>
            <w:r>
              <w:rPr>
                <w:rFonts w:hint="eastAsia" w:ascii="仿宋" w:hAnsi="仿宋" w:eastAsia="仿宋" w:cs="仿宋"/>
                <w:b w:val="0"/>
                <w:bCs w:val="0"/>
                <w:color w:val="auto"/>
                <w:sz w:val="24"/>
                <w:szCs w:val="24"/>
                <w:lang w:val="en-US" w:eastAsia="zh-CN"/>
              </w:rPr>
              <w:t>以“</w:t>
            </w:r>
            <w:r>
              <w:rPr>
                <w:rFonts w:hint="eastAsia" w:ascii="仿宋" w:hAnsi="仿宋" w:eastAsia="仿宋" w:cs="仿宋"/>
                <w:b w:val="0"/>
                <w:bCs w:val="0"/>
                <w:color w:val="auto"/>
                <w:kern w:val="0"/>
                <w:sz w:val="24"/>
                <w:szCs w:val="24"/>
              </w:rPr>
              <w:t>人人是教师、处处</w:t>
            </w:r>
            <w:r>
              <w:rPr>
                <w:rFonts w:hint="eastAsia" w:ascii="仿宋" w:hAnsi="仿宋" w:eastAsia="仿宋" w:cs="仿宋"/>
                <w:b w:val="0"/>
                <w:bCs w:val="0"/>
                <w:color w:val="auto"/>
                <w:kern w:val="0"/>
                <w:sz w:val="24"/>
                <w:szCs w:val="24"/>
                <w:lang w:val="en-US" w:eastAsia="zh-CN"/>
              </w:rPr>
              <w:t>是课堂、事事是教材、时时都育人</w:t>
            </w:r>
            <w:r>
              <w:rPr>
                <w:rFonts w:hint="eastAsia" w:ascii="仿宋" w:hAnsi="仿宋" w:eastAsia="仿宋" w:cs="仿宋"/>
                <w:b w:val="0"/>
                <w:bCs w:val="0"/>
                <w:color w:val="auto"/>
                <w:sz w:val="24"/>
                <w:szCs w:val="24"/>
                <w:lang w:val="en-US" w:eastAsia="zh-CN"/>
              </w:rPr>
              <w:t>”</w:t>
            </w:r>
            <w:r>
              <w:rPr>
                <w:rFonts w:hint="eastAsia" w:ascii="仿宋" w:hAnsi="仿宋" w:eastAsia="仿宋" w:cs="仿宋"/>
                <w:color w:val="auto"/>
                <w:sz w:val="24"/>
                <w:szCs w:val="24"/>
                <w:lang w:val="en-US" w:eastAsia="zh-CN"/>
              </w:rPr>
              <w:t>为理念设计学生学习与活动样态，通过三大文化体验行动打通校内外时空，探索促进学生弘雅品格提升的活动范式，引领学生在体验中获得品格的提升，进而实现文雅、智慧、坚韧品格的自我养成。</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三是培育师生道德认知、核心素养。</w:t>
            </w:r>
            <w:r>
              <w:rPr>
                <w:rFonts w:hint="eastAsia" w:ascii="仿宋" w:hAnsi="仿宋" w:eastAsia="仿宋" w:cs="仿宋"/>
                <w:color w:val="auto"/>
                <w:sz w:val="24"/>
                <w:szCs w:val="24"/>
                <w:lang w:val="en-US" w:eastAsia="zh-CN"/>
              </w:rPr>
              <w:t>通过该项目的建设，促进学生弘雅品格培育工作的扎实落地，激发教师创新道德与情感教育的方式，提升教师的研究力和实践力，形成学校品格教育专业教师团队，进而促进全体师生的全人发展。</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四是促进学校德育整体变革和内涵发展。</w:t>
            </w:r>
            <w:r>
              <w:rPr>
                <w:rFonts w:hint="eastAsia" w:ascii="仿宋" w:hAnsi="仿宋" w:eastAsia="仿宋" w:cs="仿宋"/>
                <w:color w:val="auto"/>
                <w:sz w:val="24"/>
                <w:szCs w:val="24"/>
                <w:lang w:val="en-US" w:eastAsia="zh-CN"/>
              </w:rPr>
              <w:t>以立德树人为根本，以培育“弘雅少年”为目标，以中华优秀传统文化、红色革命文化及社会主义先进文化为引领，以“少儿国学”、“少儿玩伴”和“少年硅谷”三大特色课程为载体，在德育体系架构、校园文化建设和育人特色方面取得新突破，创出新成果，并推动地区辐射与联盟校的内涵发展。</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实践与创新</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kern w:val="2"/>
                <w:sz w:val="24"/>
                <w:szCs w:val="24"/>
                <w:lang w:val="en-US" w:eastAsia="zh-CN" w:bidi="ar-SA"/>
              </w:rPr>
              <w:t>经多方论证，我们逐步清晰了这样的发展思路：以“少儿国学”、“少年硅谷”和少儿玩伴这“三少课程”为主要抓手，充分整合本地教育资源，打通校内外空间，建设家、校、社、企、政多维开放的教育场域，培养具有弘雅特质的师生，打造学校“弘雅”文化。在实施路径上，我们更加关注学校课程实践</w:t>
            </w:r>
            <w:r>
              <w:rPr>
                <w:rFonts w:hint="eastAsia" w:ascii="仿宋" w:hAnsi="仿宋" w:eastAsia="仿宋" w:cs="仿宋"/>
                <w:b w:val="0"/>
                <w:bCs w:val="0"/>
                <w:color w:val="auto"/>
                <w:sz w:val="24"/>
                <w:szCs w:val="24"/>
                <w:lang w:val="en-US" w:eastAsia="zh-CN"/>
              </w:rPr>
              <w:drawing>
                <wp:anchor distT="0" distB="0" distL="114300" distR="114300" simplePos="0" relativeHeight="251667456" behindDoc="0" locked="0" layoutInCell="1" allowOverlap="1">
                  <wp:simplePos x="0" y="0"/>
                  <wp:positionH relativeFrom="column">
                    <wp:posOffset>43815</wp:posOffset>
                  </wp:positionH>
                  <wp:positionV relativeFrom="paragraph">
                    <wp:posOffset>774700</wp:posOffset>
                  </wp:positionV>
                  <wp:extent cx="5177155" cy="3005455"/>
                  <wp:effectExtent l="9525" t="9525" r="20320" b="20320"/>
                  <wp:wrapTopAndBottom/>
                  <wp:docPr id="26" name="图片 3" descr="1{0PMNP2%ABMGEER]F2%Z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1{0PMNP2%ABMGEER]F2%Z_D"/>
                          <pic:cNvPicPr>
                            <a:picLocks noChangeAspect="1"/>
                          </pic:cNvPicPr>
                        </pic:nvPicPr>
                        <pic:blipFill>
                          <a:blip r:embed="rId29"/>
                          <a:stretch>
                            <a:fillRect/>
                          </a:stretch>
                        </pic:blipFill>
                        <pic:spPr>
                          <a:xfrm>
                            <a:off x="0" y="0"/>
                            <a:ext cx="5177155" cy="300545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仿宋" w:hAnsi="仿宋" w:eastAsia="仿宋" w:cs="仿宋"/>
                <w:b w:val="0"/>
                <w:bCs/>
                <w:kern w:val="2"/>
                <w:sz w:val="24"/>
                <w:szCs w:val="24"/>
                <w:lang w:val="en-US" w:eastAsia="zh-CN" w:bidi="ar-SA"/>
              </w:rPr>
              <w:t>的整合融通</w:t>
            </w:r>
            <w:r>
              <w:rPr>
                <w:rFonts w:hint="eastAsia" w:ascii="仿宋" w:hAnsi="仿宋" w:eastAsia="仿宋" w:cs="仿宋"/>
                <w:b w:val="0"/>
                <w:bCs w:val="0"/>
                <w:color w:val="auto"/>
                <w:sz w:val="24"/>
                <w:szCs w:val="24"/>
                <w:lang w:val="en-US" w:eastAsia="zh-CN"/>
              </w:rPr>
              <w:t>，更加关注已有家、校、社、企、政合作基础之上的有效深化与融通。基于以上考虑，我校在项目实施过程中重点通过内容建设、场域建设、组织建设及制度建设来探索学生弘雅品培育的有效策略。</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firstLine="482" w:firstLineChars="200"/>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（一）理清核心概念，修订培育目标体系。</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我们组织项目组成员学习教育部、中央组织部等六部门制定的《义务教育质量评价指南》和《义务教育评价指标》。对照《义务教育评价指标》中关于学生发展质量的标准，即品德发展、学业水平、身心发展、审美素养、劳动与社会实践这五方面共27条指标，结合我校学生弘雅品格内涵的已有解读，对学生弘雅品格目标培育体系做了重新梳理。经过2021年秋学期学校部门工作总结会和2022年春学期学校部门工作计划论证会的两次研讨之后，我们又邀请南师大吴永军教授参与弘雅品格培育目标体系的论证研讨，进而完成了育人目标细化表的修订，2022年春学期开学工作会议上该修订表的内容由德育副校长向全体教师进行解读。以上这些过程让弘雅品格的内涵解读与目标体系在全体教师心中逐渐清晰化、明确化。</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 w:hAnsi="仿宋" w:eastAsia="仿宋" w:cs="仿宋"/>
                <w:b/>
                <w:bCs w:val="0"/>
                <w:color w:val="auto"/>
                <w:kern w:val="0"/>
                <w:sz w:val="24"/>
                <w:szCs w:val="24"/>
              </w:rPr>
            </w:pPr>
            <w:r>
              <w:rPr>
                <w:rFonts w:hint="eastAsia" w:ascii="仿宋" w:hAnsi="仿宋" w:eastAsia="仿宋" w:cs="仿宋"/>
                <w:b/>
                <w:bCs w:val="0"/>
                <w:color w:val="auto"/>
                <w:kern w:val="0"/>
                <w:sz w:val="24"/>
                <w:szCs w:val="24"/>
                <w:lang w:val="en-US" w:eastAsia="zh-CN"/>
              </w:rPr>
              <w:t>表1：</w:t>
            </w:r>
            <w:r>
              <w:rPr>
                <w:rFonts w:hint="eastAsia" w:ascii="仿宋" w:hAnsi="仿宋" w:eastAsia="仿宋" w:cs="仿宋"/>
                <w:b/>
                <w:bCs w:val="0"/>
                <w:color w:val="auto"/>
                <w:kern w:val="0"/>
                <w:sz w:val="24"/>
                <w:szCs w:val="24"/>
              </w:rPr>
              <w:t>学生弘雅品格培育目标细化表</w:t>
            </w:r>
          </w:p>
          <w:tbl>
            <w:tblPr>
              <w:tblStyle w:val="5"/>
              <w:tblW w:w="8193"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657"/>
              <w:gridCol w:w="6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一级指标</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二级指标</w:t>
                  </w:r>
                </w:p>
              </w:tc>
              <w:tc>
                <w:tcPr>
                  <w:tcW w:w="6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弘雅学生形象描述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文</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雅</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有</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理</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想</w:t>
                  </w:r>
                </w:p>
              </w:tc>
              <w:tc>
                <w:tcPr>
                  <w:tcW w:w="684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1.爱党爱国爱人民爱社会主义，听党话、跟党走，立志为实现中华民族伟大复兴的中国梦而努力奋斗。</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2.积极参加升国旗仪式并唱国歌</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积极参加重要节日、纪念日主题教育活动和少先队活动。</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3.热爱并努力学习中华优秀传统文化、革命文化和社会主义先进文化，传承红色基因，增强“四个自信”</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积极学习英雄模范和先进典型人物。</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40" w:lineRule="exact"/>
                    <w:jc w:val="left"/>
                    <w:textAlignment w:val="auto"/>
                    <w:rPr>
                      <w:rFonts w:hint="eastAsia" w:ascii="仿宋" w:hAnsi="仿宋" w:eastAsia="仿宋" w:cs="仿宋"/>
                      <w:b/>
                      <w:bCs/>
                      <w:color w:val="auto"/>
                      <w:kern w:val="0"/>
                      <w:sz w:val="24"/>
                      <w:szCs w:val="24"/>
                    </w:rPr>
                  </w:pPr>
                </w:p>
              </w:tc>
              <w:tc>
                <w:tcPr>
                  <w:tcW w:w="657"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重</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品</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行</w:t>
                  </w:r>
                </w:p>
              </w:tc>
              <w:tc>
                <w:tcPr>
                  <w:tcW w:w="684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numPr>
                      <w:ilvl w:val="0"/>
                      <w:numId w:val="0"/>
                    </w:numPr>
                    <w:kinsoku/>
                    <w:wordWrap/>
                    <w:overflowPunct/>
                    <w:topLinePunct w:val="0"/>
                    <w:autoSpaceDE/>
                    <w:autoSpaceDN/>
                    <w:bidi w:val="0"/>
                    <w:adjustRightInd w:val="0"/>
                    <w:snapToGrid w:val="0"/>
                    <w:spacing w:line="340" w:lineRule="exact"/>
                    <w:ind w:leftChars="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注重仪表、举止文明</w:t>
                  </w:r>
                  <w:r>
                    <w:rPr>
                      <w:rFonts w:hint="eastAsia" w:ascii="仿宋" w:hAnsi="仿宋" w:eastAsia="仿宋" w:cs="仿宋"/>
                      <w:b w:val="0"/>
                      <w:bCs w:val="0"/>
                      <w:color w:val="auto"/>
                      <w:sz w:val="24"/>
                      <w:szCs w:val="24"/>
                      <w:lang w:eastAsia="zh-CN"/>
                    </w:rPr>
                    <w:t>。</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2.诚实守信、知错就改，朴素节俭、不相互攀比。</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孝敬父母，尊重师长、同学和他人，礼貌待人，与人和谐相处。</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4.具有</w:t>
                  </w:r>
                  <w:r>
                    <w:rPr>
                      <w:rFonts w:hint="eastAsia" w:ascii="仿宋" w:hAnsi="仿宋" w:eastAsia="仿宋" w:cs="仿宋"/>
                      <w:b w:val="0"/>
                      <w:bCs w:val="0"/>
                      <w:color w:val="auto"/>
                      <w:sz w:val="24"/>
                      <w:szCs w:val="24"/>
                    </w:rPr>
                    <w:t>规则意识，遵守校规校纪，遵守法律法规、社会公德和公共秩序。</w:t>
                  </w:r>
                </w:p>
                <w:p>
                  <w:pPr>
                    <w:keepNext w:val="0"/>
                    <w:keepLines w:val="0"/>
                    <w:pageBreakBefore w:val="0"/>
                    <w:numPr>
                      <w:ilvl w:val="0"/>
                      <w:numId w:val="0"/>
                    </w:numPr>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5.</w:t>
                  </w:r>
                  <w:r>
                    <w:rPr>
                      <w:rFonts w:hint="eastAsia" w:ascii="仿宋" w:hAnsi="仿宋" w:eastAsia="仿宋" w:cs="仿宋"/>
                      <w:b w:val="0"/>
                      <w:bCs w:val="0"/>
                      <w:color w:val="auto"/>
                      <w:sz w:val="24"/>
                      <w:szCs w:val="24"/>
                    </w:rPr>
                    <w:t>爱护公共财物，保护公共环境，热爱大自然；节粮节水节电，低碳环保生活</w:t>
                  </w:r>
                  <w:r>
                    <w:rPr>
                      <w:rFonts w:hint="eastAsia" w:ascii="仿宋" w:hAnsi="仿宋" w:eastAsia="仿宋" w:cs="仿宋"/>
                      <w:b w:val="0"/>
                      <w:bCs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6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40" w:lineRule="exact"/>
                    <w:jc w:val="left"/>
                    <w:textAlignment w:val="auto"/>
                    <w:rPr>
                      <w:rFonts w:hint="eastAsia" w:ascii="仿宋" w:hAnsi="仿宋" w:eastAsia="仿宋" w:cs="仿宋"/>
                      <w:b/>
                      <w:bCs/>
                      <w:color w:val="auto"/>
                      <w:kern w:val="0"/>
                      <w:sz w:val="24"/>
                      <w:szCs w:val="24"/>
                    </w:rPr>
                  </w:pP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高</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品</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位</w:t>
                  </w:r>
                </w:p>
              </w:tc>
              <w:tc>
                <w:tcPr>
                  <w:tcW w:w="6843" w:type="dxa"/>
                  <w:tcBorders>
                    <w:top w:val="single" w:color="auto" w:sz="4" w:space="0"/>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经常欣赏文学艺术作品、观看文艺演出、参观艺术展览等。</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积极参加学校、社区</w:t>
                  </w:r>
                  <w:r>
                    <w:rPr>
                      <w:rFonts w:hint="eastAsia" w:ascii="仿宋" w:hAnsi="仿宋" w:eastAsia="仿宋" w:cs="仿宋"/>
                      <w:b w:val="0"/>
                      <w:bCs w:val="0"/>
                      <w:color w:val="auto"/>
                      <w:sz w:val="24"/>
                      <w:szCs w:val="24"/>
                      <w:lang w:val="en-US" w:eastAsia="zh-CN"/>
                    </w:rPr>
                    <w:t>等</w:t>
                  </w:r>
                  <w:r>
                    <w:rPr>
                      <w:rFonts w:hint="eastAsia" w:ascii="仿宋" w:hAnsi="仿宋" w:eastAsia="仿宋" w:cs="仿宋"/>
                      <w:b w:val="0"/>
                      <w:bCs w:val="0"/>
                      <w:color w:val="auto"/>
                      <w:sz w:val="24"/>
                      <w:szCs w:val="24"/>
                    </w:rPr>
                    <w:t>组织的文化艺术等各种美育活动。</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3.掌握一定艺术技能，</w:t>
                  </w:r>
                  <w:r>
                    <w:rPr>
                      <w:rFonts w:hint="eastAsia" w:ascii="仿宋" w:hAnsi="仿宋" w:eastAsia="仿宋" w:cs="仿宋"/>
                      <w:b w:val="0"/>
                      <w:bCs w:val="0"/>
                      <w:color w:val="auto"/>
                      <w:sz w:val="24"/>
                      <w:szCs w:val="24"/>
                    </w:rPr>
                    <w:t>具备健康向上的审美趣味、审美格调，能够在学习和生活中发现美、感受美、欣赏美、表达美。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9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智</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慧</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善</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学</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习</w:t>
                  </w:r>
                </w:p>
              </w:tc>
              <w:tc>
                <w:tcPr>
                  <w:tcW w:w="684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理解学科基本思想和思维方法，掌握学科基本知识、基本技能，达到国家规定的义务教育课程学业质量标准要求</w:t>
                  </w:r>
                  <w:r>
                    <w:rPr>
                      <w:rFonts w:hint="eastAsia" w:ascii="仿宋" w:hAnsi="仿宋" w:eastAsia="仿宋" w:cs="仿宋"/>
                      <w:b w:val="0"/>
                      <w:bCs w:val="0"/>
                      <w:color w:val="auto"/>
                      <w:sz w:val="24"/>
                      <w:szCs w:val="24"/>
                      <w:lang w:eastAsia="zh-CN"/>
                    </w:rPr>
                    <w:t>。</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养成</w:t>
                  </w:r>
                  <w:r>
                    <w:rPr>
                      <w:rFonts w:hint="eastAsia" w:ascii="仿宋" w:hAnsi="仿宋" w:eastAsia="仿宋" w:cs="仿宋"/>
                      <w:b w:val="0"/>
                      <w:bCs w:val="0"/>
                      <w:color w:val="auto"/>
                      <w:sz w:val="24"/>
                      <w:szCs w:val="24"/>
                      <w:lang w:val="en-US" w:eastAsia="zh-CN"/>
                    </w:rPr>
                    <w:t>每天</w:t>
                  </w:r>
                  <w:r>
                    <w:rPr>
                      <w:rFonts w:hint="eastAsia" w:ascii="仿宋" w:hAnsi="仿宋" w:eastAsia="仿宋" w:cs="仿宋"/>
                      <w:b w:val="0"/>
                      <w:bCs w:val="0"/>
                      <w:color w:val="auto"/>
                      <w:sz w:val="24"/>
                      <w:szCs w:val="24"/>
                    </w:rPr>
                    <w:t>阅读</w:t>
                  </w:r>
                  <w:r>
                    <w:rPr>
                      <w:rFonts w:hint="eastAsia" w:ascii="仿宋" w:hAnsi="仿宋" w:eastAsia="仿宋" w:cs="仿宋"/>
                      <w:b w:val="0"/>
                      <w:bCs w:val="0"/>
                      <w:color w:val="auto"/>
                      <w:sz w:val="24"/>
                      <w:szCs w:val="24"/>
                      <w:lang w:val="en-US" w:eastAsia="zh-CN"/>
                    </w:rPr>
                    <w:t>的</w:t>
                  </w:r>
                  <w:r>
                    <w:rPr>
                      <w:rFonts w:hint="eastAsia" w:ascii="仿宋" w:hAnsi="仿宋" w:eastAsia="仿宋" w:cs="仿宋"/>
                      <w:b w:val="0"/>
                      <w:bCs w:val="0"/>
                      <w:color w:val="auto"/>
                      <w:sz w:val="24"/>
                      <w:szCs w:val="24"/>
                    </w:rPr>
                    <w:t>习惯，具备一定阅读量和阅读理解能力</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拓展学习时空，拥有健康的兴趣爱好。</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保持积极学习态度，具有学习自信心和自主学习意识，善于合作学习，努力完成学习任务。</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4.</w:t>
                  </w:r>
                  <w:r>
                    <w:rPr>
                      <w:rFonts w:hint="eastAsia" w:ascii="仿宋" w:hAnsi="仿宋" w:eastAsia="仿宋" w:cs="仿宋"/>
                      <w:b w:val="0"/>
                      <w:bCs w:val="0"/>
                      <w:color w:val="auto"/>
                      <w:sz w:val="24"/>
                      <w:szCs w:val="24"/>
                    </w:rPr>
                    <w:t>掌握有效学习方法，主动预习，认真听讲，积极思考，踊跃提问，及时复习，认真完成作业。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40" w:lineRule="exact"/>
                    <w:jc w:val="left"/>
                    <w:textAlignment w:val="auto"/>
                    <w:rPr>
                      <w:rFonts w:hint="eastAsia" w:ascii="仿宋" w:hAnsi="仿宋" w:eastAsia="仿宋" w:cs="仿宋"/>
                      <w:b/>
                      <w:bCs/>
                      <w:color w:val="auto"/>
                      <w:kern w:val="0"/>
                      <w:sz w:val="24"/>
                      <w:szCs w:val="24"/>
                    </w:rPr>
                  </w:pP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勇</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探</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究</w:t>
                  </w:r>
                </w:p>
              </w:tc>
              <w:tc>
                <w:tcPr>
                  <w:tcW w:w="684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.能不畏困难，有坚持不懈的探索精神。</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善于发现和提出问题，有解决问题的兴趣和热情</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能大胆尝试，积极寻求有效的问题解决方法等。</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能依据特定情境和具体条件，选择制订合理的解决方案。具有在复杂环境中行动的能力。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40" w:lineRule="exact"/>
                    <w:jc w:val="left"/>
                    <w:textAlignment w:val="auto"/>
                    <w:rPr>
                      <w:rFonts w:hint="eastAsia" w:ascii="仿宋" w:hAnsi="仿宋" w:eastAsia="仿宋" w:cs="仿宋"/>
                      <w:b/>
                      <w:bCs/>
                      <w:color w:val="auto"/>
                      <w:kern w:val="0"/>
                      <w:sz w:val="24"/>
                      <w:szCs w:val="24"/>
                    </w:rPr>
                  </w:pPr>
                </w:p>
              </w:tc>
              <w:tc>
                <w:tcPr>
                  <w:tcW w:w="657"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乐</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创</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新</w:t>
                  </w:r>
                </w:p>
              </w:tc>
              <w:tc>
                <w:tcPr>
                  <w:tcW w:w="684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积极参加学校兴趣小组社团活动，有小制作、小发明、小创造等科学兴趣特长。</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有</w:t>
                  </w:r>
                  <w:r>
                    <w:rPr>
                      <w:rFonts w:hint="eastAsia" w:ascii="仿宋" w:hAnsi="仿宋" w:eastAsia="仿宋" w:cs="仿宋"/>
                      <w:b w:val="0"/>
                      <w:bCs w:val="0"/>
                      <w:color w:val="auto"/>
                      <w:sz w:val="24"/>
                      <w:szCs w:val="24"/>
                    </w:rPr>
                    <w:t>好奇心、想象力和求知欲，有信息收集整合、综合分析运用能力，有自主探究、独立思考、发现问题、解决问题的意识与能力。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9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坚</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韧</w:t>
                  </w:r>
                </w:p>
              </w:tc>
              <w:tc>
                <w:tcPr>
                  <w:tcW w:w="657"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强</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身</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心</w:t>
                  </w:r>
                </w:p>
              </w:tc>
              <w:tc>
                <w:tcPr>
                  <w:tcW w:w="684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体质健康监测达标，掌握1—2项体育运动技能，有效控制近视、肥胖、脊柱姿态不良等。</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保持自尊自信、自立自强，乐观向上、阳光健康心态，合理表达、控制调节自我情绪；能够正确看待挫折，具备应对学习压力、生活困难和寻求帮助的积极心理素质和能力。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9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40" w:lineRule="exact"/>
                    <w:jc w:val="left"/>
                    <w:textAlignment w:val="auto"/>
                    <w:rPr>
                      <w:rFonts w:hint="eastAsia" w:ascii="仿宋" w:hAnsi="仿宋" w:eastAsia="仿宋" w:cs="仿宋"/>
                      <w:b/>
                      <w:bCs/>
                      <w:color w:val="auto"/>
                      <w:kern w:val="0"/>
                      <w:sz w:val="24"/>
                      <w:szCs w:val="24"/>
                    </w:rPr>
                  </w:pP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爱</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劳</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动</w:t>
                  </w:r>
                </w:p>
              </w:tc>
              <w:tc>
                <w:tcPr>
                  <w:tcW w:w="684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1.自己的事情自己做，具有尊重劳动、热爱劳动的观念，吃苦耐劳，尊重劳动者，珍惜劳动成果。</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2.积极参加家务劳动、校内劳动和校外劳动，具有一定的生活能力和劳动技能。</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积极参与社会调查、研学实践、</w:t>
                  </w:r>
                  <w:r>
                    <w:rPr>
                      <w:rFonts w:hint="eastAsia" w:ascii="仿宋" w:hAnsi="仿宋" w:eastAsia="仿宋" w:cs="仿宋"/>
                      <w:b w:val="0"/>
                      <w:bCs w:val="0"/>
                      <w:color w:val="auto"/>
                      <w:sz w:val="24"/>
                      <w:szCs w:val="24"/>
                      <w:lang w:val="en-US" w:eastAsia="zh-CN"/>
                    </w:rPr>
                    <w:t>职业体验、</w:t>
                  </w:r>
                  <w:r>
                    <w:rPr>
                      <w:rFonts w:hint="eastAsia" w:ascii="仿宋" w:hAnsi="仿宋" w:eastAsia="仿宋" w:cs="仿宋"/>
                      <w:b w:val="0"/>
                      <w:bCs w:val="0"/>
                      <w:color w:val="auto"/>
                      <w:sz w:val="24"/>
                      <w:szCs w:val="24"/>
                    </w:rPr>
                    <w:t>志愿服务</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公益活动</w:t>
                  </w:r>
                  <w:r>
                    <w:rPr>
                      <w:rFonts w:hint="eastAsia" w:ascii="仿宋" w:hAnsi="仿宋" w:eastAsia="仿宋" w:cs="仿宋"/>
                      <w:b w:val="0"/>
                      <w:bCs w:val="0"/>
                      <w:color w:val="auto"/>
                      <w:sz w:val="24"/>
                      <w:szCs w:val="24"/>
                      <w:lang w:val="en-US" w:eastAsia="zh-CN"/>
                    </w:rPr>
                    <w:t>等劳动实践</w:t>
                  </w:r>
                  <w:r>
                    <w:rPr>
                      <w:rFonts w:hint="eastAsia" w:ascii="仿宋" w:hAnsi="仿宋" w:eastAsia="仿宋" w:cs="仿宋"/>
                      <w:b w:val="0"/>
                      <w:bCs w:val="0"/>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340" w:lineRule="exact"/>
                    <w:jc w:val="left"/>
                    <w:textAlignment w:val="auto"/>
                    <w:rPr>
                      <w:rFonts w:hint="eastAsia" w:ascii="仿宋" w:hAnsi="仿宋" w:eastAsia="仿宋" w:cs="仿宋"/>
                      <w:b/>
                      <w:bCs/>
                      <w:color w:val="auto"/>
                      <w:kern w:val="0"/>
                      <w:sz w:val="24"/>
                      <w:szCs w:val="24"/>
                    </w:rPr>
                  </w:pP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会</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生</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活</w:t>
                  </w:r>
                </w:p>
              </w:tc>
              <w:tc>
                <w:tcPr>
                  <w:tcW w:w="6843" w:type="dxa"/>
                  <w:tcBorders>
                    <w:top w:val="single" w:color="auto" w:sz="4" w:space="0"/>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营养健康饮食，讲究卫生，按时作息，保证充足睡眠，养成坐、立、行、读、写正确姿势；积极参加体育活动，坚持每天锻炼身体至少1小时，坚持做广播体操、眼保健操。</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.树立珍爱生命、安全第一意识，掌握安全、卫生防疫等基本常识，注重日常预防和自我保护，具备避险和紧急情况应对能力。</w:t>
                  </w:r>
                </w:p>
                <w:p>
                  <w:pPr>
                    <w:keepNext w:val="0"/>
                    <w:keepLines w:val="0"/>
                    <w:pageBreakBefore w:val="0"/>
                    <w:kinsoku/>
                    <w:wordWrap/>
                    <w:overflowPunct/>
                    <w:topLinePunct w:val="0"/>
                    <w:autoSpaceDE/>
                    <w:autoSpaceDN/>
                    <w:bidi w:val="0"/>
                    <w:spacing w:line="34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合理</w:t>
                  </w:r>
                  <w:r>
                    <w:rPr>
                      <w:rFonts w:hint="eastAsia" w:ascii="仿宋" w:hAnsi="仿宋" w:eastAsia="仿宋" w:cs="仿宋"/>
                      <w:b w:val="0"/>
                      <w:bCs w:val="0"/>
                      <w:color w:val="auto"/>
                      <w:sz w:val="24"/>
                      <w:szCs w:val="24"/>
                    </w:rPr>
                    <w:t>使用手机，</w:t>
                  </w:r>
                  <w:r>
                    <w:rPr>
                      <w:rFonts w:hint="eastAsia" w:ascii="仿宋" w:hAnsi="仿宋" w:eastAsia="仿宋" w:cs="仿宋"/>
                      <w:b w:val="0"/>
                      <w:bCs w:val="0"/>
                      <w:color w:val="auto"/>
                      <w:sz w:val="24"/>
                      <w:szCs w:val="24"/>
                      <w:lang w:val="en-US" w:eastAsia="zh-CN"/>
                    </w:rPr>
                    <w:t>理性面对</w:t>
                  </w:r>
                  <w:r>
                    <w:rPr>
                      <w:rFonts w:hint="eastAsia" w:ascii="仿宋" w:hAnsi="仿宋" w:eastAsia="仿宋" w:cs="仿宋"/>
                      <w:b w:val="0"/>
                      <w:bCs w:val="0"/>
                      <w:color w:val="auto"/>
                      <w:sz w:val="24"/>
                      <w:szCs w:val="24"/>
                    </w:rPr>
                    <w:t>网络游戏。</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（二）精准匹配，建设场域资源与课程内容。</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在理论学习与项目推进中，我们边反思边实践，对照新修订的学生弘雅品格培育目标细化表，对各大场域的校内外物型空间再次进行梳理，也对场域中已经实施的部分德育课程做了梳理。从传统节日、二十四节气到国旗童声中的其他纪念日，从一年级入学、二年级入队，到三年级十岁成长礼及六年级毕业季课程，在时间上抓住学生品格培养的关键节点。从“我爱记诗词”、常州吟诵、敬老孝老等优秀传统文化传承，到红色基因、长征精神的传承，到强健身心，家校社场域花样劳动和职业研究体验，致敬时代先锋和楷模，探秘社会主义科技进步的奥秘……我们努力在“五育并举”的视野之下，推动国家德育课程的校本化实施，促进学生弘雅品格提升。</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1.多方参与，开发课程内容体系</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anchor distT="0" distB="0" distL="114300" distR="114300" simplePos="0" relativeHeight="251669504" behindDoc="1" locked="0" layoutInCell="1" allowOverlap="1">
                  <wp:simplePos x="0" y="0"/>
                  <wp:positionH relativeFrom="column">
                    <wp:posOffset>1631315</wp:posOffset>
                  </wp:positionH>
                  <wp:positionV relativeFrom="paragraph">
                    <wp:posOffset>875030</wp:posOffset>
                  </wp:positionV>
                  <wp:extent cx="3513455" cy="3492500"/>
                  <wp:effectExtent l="0" t="0" r="4445" b="0"/>
                  <wp:wrapTight wrapText="bothSides">
                    <wp:wrapPolygon>
                      <wp:start x="0" y="0"/>
                      <wp:lineTo x="0" y="21521"/>
                      <wp:lineTo x="21549" y="21521"/>
                      <wp:lineTo x="21549" y="0"/>
                      <wp:lineTo x="0" y="0"/>
                    </wp:wrapPolygon>
                  </wp:wrapTight>
                  <wp:docPr id="27" name="图片 27" descr="3(XJ{A}`Q7M8M25U@YM}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XJ{A}`Q7M8M25U@YM}V[W"/>
                          <pic:cNvPicPr>
                            <a:picLocks noChangeAspect="1"/>
                          </pic:cNvPicPr>
                        </pic:nvPicPr>
                        <pic:blipFill>
                          <a:blip r:embed="rId30"/>
                          <a:stretch>
                            <a:fillRect/>
                          </a:stretch>
                        </pic:blipFill>
                        <pic:spPr>
                          <a:xfrm>
                            <a:off x="0" y="0"/>
                            <a:ext cx="3513455" cy="3492500"/>
                          </a:xfrm>
                          <a:prstGeom prst="rect">
                            <a:avLst/>
                          </a:prstGeom>
                          <a:noFill/>
                          <a:ln>
                            <a:noFill/>
                          </a:ln>
                        </pic:spPr>
                      </pic:pic>
                    </a:graphicData>
                  </a:graphic>
                </wp:anchor>
              </w:drawing>
            </w:r>
            <w:r>
              <w:rPr>
                <w:rFonts w:hint="eastAsia" w:ascii="仿宋" w:hAnsi="仿宋" w:eastAsia="仿宋" w:cs="仿宋"/>
                <w:color w:val="auto"/>
                <w:sz w:val="24"/>
                <w:szCs w:val="24"/>
                <w:lang w:val="en-US" w:eastAsia="zh-CN"/>
              </w:rPr>
              <w:t>课程是学生品格培育的重要载体，有了弘雅品格细化目标作指引，还需要有与之呼应的德育课程内容。在国家课程校本化实施的同时，我们结合学校历史渊源、借助地方“智能传感小镇”科创特色以及校外各场域资源，引进国家非遗“常州吟诵”，在已有“三少”校本课程的基础之上，致力于开发优秀传统文化、红色革命文化和社会主义先进文化这三大场域的弘雅品格培育课程内容体系。在教师、学生、家长及社会人士的共同参与下，已经形成了比较成熟的三十个子课程。</w:t>
            </w:r>
          </w:p>
          <w:p>
            <w:pPr>
              <w:keepNext w:val="0"/>
              <w:keepLines w:val="0"/>
              <w:pageBreakBefore w:val="0"/>
              <w:kinsoku/>
              <w:wordWrap/>
              <w:overflowPunct/>
              <w:topLinePunct w:val="0"/>
              <w:autoSpaceDE/>
              <w:autoSpaceDN/>
              <w:bidi w:val="0"/>
              <w:spacing w:line="340" w:lineRule="exact"/>
              <w:ind w:firstLine="482" w:firstLineChars="200"/>
              <w:jc w:val="left"/>
              <w:textAlignment w:val="auto"/>
              <w:rPr>
                <w:rFonts w:hint="eastAsia" w:ascii="仿宋" w:hAnsi="仿宋" w:eastAsia="仿宋" w:cs="仿宋"/>
                <w:b/>
                <w:color w:val="C00000"/>
                <w:sz w:val="24"/>
                <w:szCs w:val="24"/>
                <w:lang w:val="en-US" w:eastAsia="zh-CN"/>
              </w:rPr>
            </w:pPr>
            <w:r>
              <w:rPr>
                <w:rFonts w:hint="eastAsia" w:ascii="仿宋" w:hAnsi="仿宋" w:eastAsia="仿宋" w:cs="仿宋"/>
                <w:b/>
                <w:sz w:val="24"/>
                <w:szCs w:val="24"/>
                <w:lang w:val="en-US" w:eastAsia="zh-CN"/>
              </w:rPr>
              <w:t>2.内外联动，开发场域资源</w:t>
            </w:r>
          </w:p>
          <w:p>
            <w:pPr>
              <w:keepNext w:val="0"/>
              <w:keepLines w:val="0"/>
              <w:pageBreakBefore w:val="0"/>
              <w:kinsoku/>
              <w:wordWrap/>
              <w:overflowPunct/>
              <w:topLinePunct w:val="0"/>
              <w:autoSpaceDE/>
              <w:autoSpaceDN/>
              <w:bidi w:val="0"/>
              <w:spacing w:line="3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sz w:val="24"/>
                <w:szCs w:val="24"/>
              </w:rPr>
              <w:t>我们聚焦学生“弘雅”品格培育的需求</w:t>
            </w:r>
            <w:r>
              <w:rPr>
                <w:rFonts w:hint="eastAsia" w:ascii="仿宋" w:hAnsi="仿宋" w:eastAsia="仿宋" w:cs="仿宋"/>
                <w:sz w:val="24"/>
                <w:szCs w:val="24"/>
                <w:lang w:val="en-US" w:eastAsia="zh-CN"/>
              </w:rPr>
              <w:t>及情境体验的育人方式，</w:t>
            </w:r>
            <w:r>
              <w:rPr>
                <w:rFonts w:hint="eastAsia" w:ascii="仿宋" w:hAnsi="仿宋" w:eastAsia="仿宋" w:cs="仿宋"/>
                <w:color w:val="auto"/>
                <w:sz w:val="24"/>
                <w:szCs w:val="24"/>
                <w:lang w:val="en-US" w:eastAsia="zh-CN"/>
              </w:rPr>
              <w:t>致力于建构</w:t>
            </w:r>
            <w:r>
              <w:rPr>
                <w:rFonts w:hint="eastAsia" w:ascii="仿宋" w:hAnsi="仿宋" w:eastAsia="仿宋" w:cs="仿宋"/>
                <w:b w:val="0"/>
                <w:bCs w:val="0"/>
                <w:color w:val="auto"/>
                <w:sz w:val="24"/>
                <w:szCs w:val="24"/>
                <w:lang w:val="en-US" w:eastAsia="zh-CN"/>
              </w:rPr>
              <w:t>中华</w:t>
            </w:r>
            <w:r>
              <w:rPr>
                <w:rFonts w:hint="eastAsia" w:ascii="仿宋" w:hAnsi="仿宋" w:eastAsia="仿宋" w:cs="仿宋"/>
                <w:b w:val="0"/>
                <w:bCs w:val="0"/>
                <w:color w:val="auto"/>
                <w:sz w:val="24"/>
                <w:szCs w:val="24"/>
                <w:lang w:eastAsia="zh-CN"/>
              </w:rPr>
              <w:t>优秀传统文化、红色革命文化、</w:t>
            </w:r>
            <w:r>
              <w:rPr>
                <w:rFonts w:hint="eastAsia" w:ascii="仿宋" w:hAnsi="仿宋" w:eastAsia="仿宋" w:cs="仿宋"/>
                <w:b w:val="0"/>
                <w:bCs w:val="0"/>
                <w:color w:val="auto"/>
                <w:sz w:val="24"/>
                <w:szCs w:val="24"/>
                <w:lang w:val="en-US" w:eastAsia="zh-CN"/>
              </w:rPr>
              <w:t>社会主义先进文化</w:t>
            </w:r>
            <w:r>
              <w:rPr>
                <w:rFonts w:hint="eastAsia" w:ascii="仿宋" w:hAnsi="仿宋" w:eastAsia="仿宋" w:cs="仿宋"/>
                <w:b w:val="0"/>
                <w:bCs/>
                <w:color w:val="auto"/>
                <w:sz w:val="24"/>
                <w:szCs w:val="24"/>
                <w:lang w:val="en-US" w:eastAsia="zh-CN"/>
              </w:rPr>
              <w:t>这三</w:t>
            </w:r>
            <w:r>
              <w:rPr>
                <w:rFonts w:hint="eastAsia" w:ascii="仿宋" w:hAnsi="仿宋" w:eastAsia="仿宋" w:cs="仿宋"/>
                <w:color w:val="auto"/>
                <w:sz w:val="24"/>
                <w:szCs w:val="24"/>
                <w:lang w:val="en-US" w:eastAsia="zh-CN"/>
              </w:rPr>
              <w:t>大育人场域。</w:t>
            </w:r>
          </w:p>
          <w:p>
            <w:pPr>
              <w:keepNext w:val="0"/>
              <w:keepLines w:val="0"/>
              <w:pageBreakBefore w:val="0"/>
              <w:kinsoku/>
              <w:wordWrap/>
              <w:overflowPunct/>
              <w:topLinePunct w:val="0"/>
              <w:autoSpaceDE/>
              <w:autoSpaceDN/>
              <w:bidi w:val="0"/>
              <w:spacing w:line="340" w:lineRule="exact"/>
              <w:ind w:firstLine="480" w:firstLineChars="200"/>
              <w:textAlignment w:val="auto"/>
              <w:rPr>
                <w:rFonts w:hint="eastAsia" w:ascii="仿宋" w:hAnsi="仿宋" w:eastAsia="仿宋" w:cs="仿宋"/>
                <w:b w:val="0"/>
                <w:bCs w:val="0"/>
                <w:sz w:val="24"/>
                <w:szCs w:val="24"/>
                <w:shd w:val="clear" w:color="auto" w:fill="FFFFFF"/>
              </w:rPr>
            </w:pPr>
            <w:r>
              <w:rPr>
                <w:rFonts w:hint="eastAsia" w:ascii="仿宋" w:hAnsi="仿宋" w:eastAsia="仿宋" w:cs="仿宋"/>
                <w:sz w:val="24"/>
                <w:szCs w:val="24"/>
                <w:lang w:val="en-US" w:eastAsia="zh-CN"/>
              </w:rPr>
              <w:t>在校内，</w:t>
            </w:r>
            <w:r>
              <w:rPr>
                <w:rFonts w:hint="eastAsia" w:ascii="仿宋" w:hAnsi="仿宋" w:eastAsia="仿宋" w:cs="仿宋"/>
                <w:sz w:val="24"/>
                <w:szCs w:val="24"/>
              </w:rPr>
              <w:t>依托学校文化</w:t>
            </w:r>
            <w:r>
              <w:rPr>
                <w:rFonts w:hint="eastAsia" w:ascii="仿宋" w:hAnsi="仿宋" w:eastAsia="仿宋" w:cs="仿宋"/>
                <w:sz w:val="24"/>
                <w:szCs w:val="24"/>
                <w:lang w:val="en-US" w:eastAsia="zh-CN"/>
              </w:rPr>
              <w:t>和周边资源，我们</w:t>
            </w:r>
            <w:r>
              <w:rPr>
                <w:rFonts w:hint="eastAsia" w:ascii="仿宋" w:hAnsi="仿宋" w:eastAsia="仿宋" w:cs="仿宋"/>
                <w:sz w:val="24"/>
                <w:szCs w:val="24"/>
              </w:rPr>
              <w:t>充分挖掘建筑空间的育人价值，以“典雅、共长、前瞻”为特征，对校园环境和部分场馆进行了</w:t>
            </w:r>
            <w:r>
              <w:rPr>
                <w:rFonts w:hint="eastAsia" w:ascii="仿宋" w:hAnsi="仿宋" w:eastAsia="仿宋" w:cs="仿宋"/>
                <w:sz w:val="24"/>
                <w:szCs w:val="24"/>
                <w:lang w:val="en-US" w:eastAsia="zh-CN"/>
              </w:rPr>
              <w:t>的</w:t>
            </w:r>
            <w:r>
              <w:rPr>
                <w:rFonts w:hint="eastAsia" w:ascii="仿宋" w:hAnsi="仿宋" w:eastAsia="仿宋" w:cs="仿宋"/>
                <w:sz w:val="24"/>
                <w:szCs w:val="24"/>
              </w:rPr>
              <w:t>文化布置</w:t>
            </w:r>
            <w:r>
              <w:rPr>
                <w:rFonts w:hint="eastAsia" w:ascii="仿宋" w:hAnsi="仿宋" w:eastAsia="仿宋" w:cs="仿宋"/>
                <w:sz w:val="24"/>
                <w:szCs w:val="24"/>
                <w:lang w:val="en-US" w:eastAsia="zh-CN"/>
              </w:rPr>
              <w:t>和功能改造的</w:t>
            </w:r>
            <w:r>
              <w:rPr>
                <w:rFonts w:hint="eastAsia" w:ascii="仿宋" w:hAnsi="仿宋" w:eastAsia="仿宋" w:cs="仿宋"/>
                <w:sz w:val="24"/>
                <w:szCs w:val="24"/>
              </w:rPr>
              <w:t>二度设计。</w:t>
            </w:r>
            <w:r>
              <w:rPr>
                <w:rFonts w:hint="eastAsia" w:ascii="仿宋" w:hAnsi="仿宋" w:eastAsia="仿宋" w:cs="仿宋"/>
                <w:sz w:val="24"/>
                <w:szCs w:val="24"/>
                <w:lang w:val="en-US" w:eastAsia="zh-CN"/>
              </w:rPr>
              <w:t>在校外</w:t>
            </w:r>
            <w:r>
              <w:rPr>
                <w:rFonts w:hint="eastAsia" w:ascii="仿宋" w:hAnsi="仿宋" w:eastAsia="仿宋" w:cs="仿宋"/>
                <w:sz w:val="24"/>
                <w:szCs w:val="24"/>
              </w:rPr>
              <w:t>，我们借助学校周边有利环境，推进共建策略的实施，</w:t>
            </w:r>
            <w:r>
              <w:rPr>
                <w:rFonts w:hint="eastAsia" w:ascii="仿宋" w:hAnsi="仿宋" w:eastAsia="仿宋" w:cs="仿宋"/>
                <w:color w:val="auto"/>
                <w:sz w:val="24"/>
                <w:szCs w:val="24"/>
              </w:rPr>
              <w:t>与龙虎塘街道各部门、各社区居民委员会以及天合光能等13家企事业单位</w:t>
            </w:r>
            <w:r>
              <w:rPr>
                <w:rFonts w:hint="eastAsia" w:ascii="仿宋" w:hAnsi="仿宋" w:eastAsia="仿宋" w:cs="仿宋"/>
                <w:color w:val="auto"/>
                <w:sz w:val="24"/>
                <w:szCs w:val="24"/>
                <w:lang w:val="en-US" w:eastAsia="zh-CN"/>
              </w:rPr>
              <w:t>建立共建关系</w:t>
            </w:r>
            <w:r>
              <w:rPr>
                <w:rFonts w:hint="eastAsia" w:ascii="仿宋" w:hAnsi="仿宋" w:eastAsia="仿宋" w:cs="仿宋"/>
                <w:color w:val="auto"/>
                <w:sz w:val="24"/>
                <w:szCs w:val="24"/>
              </w:rPr>
              <w:t>，聘请这些单位的同志担任校外辅导员。</w:t>
            </w:r>
            <w:r>
              <w:rPr>
                <w:rFonts w:hint="eastAsia" w:ascii="仿宋" w:hAnsi="仿宋" w:eastAsia="仿宋" w:cs="仿宋"/>
                <w:sz w:val="24"/>
                <w:szCs w:val="24"/>
                <w:lang w:val="en-US" w:eastAsia="zh-CN"/>
              </w:rPr>
              <w:t>同时，对已有的比较成熟的学生实践活动场域进行梳理，目前已经</w:t>
            </w:r>
            <w:r>
              <w:rPr>
                <w:rFonts w:hint="eastAsia" w:ascii="仿宋" w:hAnsi="仿宋" w:eastAsia="仿宋" w:cs="仿宋"/>
                <w:sz w:val="24"/>
                <w:szCs w:val="24"/>
              </w:rPr>
              <w:t>开发了</w:t>
            </w:r>
            <w:r>
              <w:rPr>
                <w:rFonts w:hint="eastAsia" w:ascii="仿宋" w:hAnsi="仿宋" w:eastAsia="仿宋" w:cs="仿宋"/>
                <w:sz w:val="24"/>
                <w:szCs w:val="24"/>
                <w:lang w:val="en-US" w:eastAsia="zh-CN"/>
              </w:rPr>
              <w:t>四十多个与上述三大文化主题有关的校外</w:t>
            </w:r>
            <w:r>
              <w:rPr>
                <w:rFonts w:hint="eastAsia" w:ascii="仿宋" w:hAnsi="仿宋" w:eastAsia="仿宋" w:cs="仿宋"/>
                <w:sz w:val="24"/>
                <w:szCs w:val="24"/>
              </w:rPr>
              <w:t>德育</w:t>
            </w:r>
            <w:r>
              <w:rPr>
                <w:rFonts w:hint="eastAsia" w:ascii="仿宋" w:hAnsi="仿宋" w:eastAsia="仿宋" w:cs="仿宋"/>
                <w:sz w:val="24"/>
                <w:szCs w:val="24"/>
                <w:lang w:val="en-US" w:eastAsia="zh-CN"/>
              </w:rPr>
              <w:t>场域</w:t>
            </w:r>
            <w:r>
              <w:rPr>
                <w:rFonts w:hint="eastAsia" w:ascii="仿宋" w:hAnsi="仿宋" w:eastAsia="仿宋" w:cs="仿宋"/>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（1）在中华优秀传统文化场域中夯实文雅底蕴</w:t>
            </w:r>
          </w:p>
          <w:p>
            <w:pPr>
              <w:keepNext w:val="0"/>
              <w:keepLines w:val="0"/>
              <w:pageBreakBefore w:val="0"/>
              <w:kinsoku/>
              <w:wordWrap/>
              <w:overflowPunct/>
              <w:topLinePunct w:val="0"/>
              <w:autoSpaceDE/>
              <w:autoSpaceDN/>
              <w:bidi w:val="0"/>
              <w:spacing w:line="3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按照学生核心素养要求，我们整体构建“少儿国学”项目体系，设置了多样化的选修课，如“馨竹诗联社”创作课，国家非遗“常州吟诵”课，“诗词创意盆景”课等。与此同时，打造了校内外活动实施场域，校内有崧泽文化源泉、商周文化大厅、春秋文化广场、唐宋诗词连廊、明清文化区域和“诗国常州”展馆，校外有高城墩遗址、青果巷历史文化街区、苏东坡纪念馆、常州吟诵传习所等。在常州文化馆的支持下，我校成为常州吟诵基地学校，校级“常州吟诵”社团先后参加“大手拉小手，童心颂初心”庆祝中国共产党成立100周年常州吟诵诗会活动、“我们的节日——春和景明”常州吟诵清明雅集展播活动、“红领巾寻访伟大成就”第十九届全省少年儿童书信文化活动、江苏少儿频道“我爱记诗词”栏目活动、全国吟诵诗会活动……）</w:t>
            </w:r>
          </w:p>
          <w:p>
            <w:pPr>
              <w:keepNext w:val="0"/>
              <w:keepLines w:val="0"/>
              <w:pageBreakBefore w:val="0"/>
              <w:kinsoku/>
              <w:wordWrap/>
              <w:overflowPunct/>
              <w:topLinePunct w:val="0"/>
              <w:autoSpaceDE/>
              <w:autoSpaceDN/>
              <w:bidi w:val="0"/>
              <w:spacing w:line="3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71552" behindDoc="0" locked="0" layoutInCell="1" allowOverlap="1">
                  <wp:simplePos x="0" y="0"/>
                  <wp:positionH relativeFrom="column">
                    <wp:posOffset>878840</wp:posOffset>
                  </wp:positionH>
                  <wp:positionV relativeFrom="paragraph">
                    <wp:posOffset>1364615</wp:posOffset>
                  </wp:positionV>
                  <wp:extent cx="3709035" cy="3037840"/>
                  <wp:effectExtent l="63500" t="50800" r="62865" b="73660"/>
                  <wp:wrapTopAndBottom/>
                  <wp:docPr id="28" name="图片 5" descr="优秀传统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优秀传统文化"/>
                          <pic:cNvPicPr>
                            <a:picLocks noChangeAspect="1"/>
                          </pic:cNvPicPr>
                        </pic:nvPicPr>
                        <pic:blipFill>
                          <a:blip r:embed="rId31"/>
                          <a:stretch>
                            <a:fillRect/>
                          </a:stretch>
                        </pic:blipFill>
                        <pic:spPr>
                          <a:xfrm>
                            <a:off x="0" y="0"/>
                            <a:ext cx="3793490" cy="3369945"/>
                          </a:xfrm>
                          <a:prstGeom prst="rect">
                            <a:avLst/>
                          </a:prstGeom>
                          <a:noFill/>
                          <a:ln>
                            <a:noFill/>
                          </a:ln>
                          <a:effectLst>
                            <a:glow rad="63500">
                              <a:srgbClr val="267DE6">
                                <a:satMod val="175000"/>
                                <a:alpha val="40000"/>
                              </a:srgbClr>
                            </a:glow>
                          </a:effectLst>
                        </pic:spPr>
                      </pic:pic>
                    </a:graphicData>
                  </a:graphic>
                </wp:anchor>
              </w:drawing>
            </w:r>
            <w:r>
              <w:rPr>
                <w:rFonts w:hint="eastAsia" w:ascii="仿宋" w:hAnsi="仿宋" w:eastAsia="仿宋" w:cs="仿宋"/>
                <w:sz w:val="24"/>
                <w:szCs w:val="24"/>
                <w:lang w:val="en-US" w:eastAsia="zh-CN"/>
              </w:rPr>
              <w:t xml:space="preserve"> 2022年开始，我们在原有基础上，启动了“诗国常州：培育小学生文化自信的在地化实践探索”项目，学校整体架构内容，以班级为单位，学生围绕“季子文化”、“东坡文化”、“毗陵诗派”等主题开展校内外的研究性学习活动，形成了十多个研究案例视频。三年来，经典诗文特色活动及成果被《扬子晚报》、《环球时报》《人民网》刊登，江苏电视台教育频道、城市频道、常州电视台等三次专访。      </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【图1：</w:t>
            </w:r>
            <w:r>
              <w:rPr>
                <w:rFonts w:hint="eastAsia" w:ascii="仿宋" w:hAnsi="仿宋" w:eastAsia="仿宋" w:cs="仿宋"/>
                <w:b/>
                <w:bCs/>
                <w:sz w:val="24"/>
                <w:szCs w:val="24"/>
                <w:lang w:val="en-US" w:eastAsia="zh-CN"/>
              </w:rPr>
              <w:t>优秀传统文化场域</w:t>
            </w:r>
            <w:r>
              <w:rPr>
                <w:rFonts w:hint="eastAsia" w:ascii="仿宋" w:hAnsi="仿宋" w:eastAsia="仿宋" w:cs="仿宋"/>
                <w:b/>
                <w:bCs/>
                <w:color w:val="000000"/>
                <w:sz w:val="24"/>
                <w:szCs w:val="24"/>
                <w:lang w:val="en-US" w:eastAsia="zh-CN"/>
              </w:rPr>
              <w:t>建构图】</w:t>
            </w:r>
          </w:p>
          <w:p>
            <w:pPr>
              <w:keepNext w:val="0"/>
              <w:keepLines w:val="0"/>
              <w:pageBreakBefore w:val="0"/>
              <w:kinsoku/>
              <w:wordWrap/>
              <w:overflowPunct/>
              <w:topLinePunct w:val="0"/>
              <w:autoSpaceDE/>
              <w:autoSpaceDN/>
              <w:bidi w:val="0"/>
              <w:spacing w:line="340" w:lineRule="exact"/>
              <w:ind w:firstLine="482" w:firstLineChars="200"/>
              <w:jc w:val="left"/>
              <w:textAlignment w:val="auto"/>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spacing w:line="340" w:lineRule="exact"/>
              <w:ind w:firstLine="482" w:firstLineChars="200"/>
              <w:jc w:val="lef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（2）在红色革命文化场域中涵育坚韧品质</w:t>
            </w:r>
          </w:p>
          <w:p>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们打造乐国旗童声台、红船小剧场、红领巾学院、长征文化连廊和党建文化学院为主阵地的校内红色革命文化场域，校外有秋白书苑、常州抗日英雄纪念馆、新北区革命烈士陵园、“常州三杰”纪念地和潘墅战役先锋林。潘墅，离学校2.5公里，解放常州的第一枪就在这里打响。六4中队少儿玩伴团来到潘墅寻访家乡红色遗迹，孩子们了解潘墅战役战况，走访潘墅战役亲历者，调查潘墅老街变化。他们把寻访所得编成舞台剧《潘墅之战》，每次在校内演出，瞿钦民连长的英雄形象打动着大家。各班也纷纷成立了红色宣讲团，创建了英雄中队，其中秋白中队被评为江苏省英雄中队。舞台剧《潘墅之战》成了校红船剧场经久不衰的经典剧目，一届届的孩子在市、区、街道表演着红色故事，获得市讲好红色故事特等奖，区新星奖。</w:t>
            </w:r>
          </w:p>
          <w:p>
            <w:pPr>
              <w:keepNext w:val="0"/>
              <w:keepLines w:val="0"/>
              <w:pageBreakBefore w:val="0"/>
              <w:widowControl/>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b/>
                <w:bCs/>
                <w:color w:val="000000"/>
                <w:sz w:val="24"/>
                <w:szCs w:val="24"/>
                <w:lang w:val="en-US" w:eastAsia="zh-CN"/>
              </w:rPr>
              <w:drawing>
                <wp:anchor distT="0" distB="0" distL="114300" distR="114300" simplePos="0" relativeHeight="251668480" behindDoc="0" locked="0" layoutInCell="1" allowOverlap="1">
                  <wp:simplePos x="0" y="0"/>
                  <wp:positionH relativeFrom="column">
                    <wp:posOffset>690880</wp:posOffset>
                  </wp:positionH>
                  <wp:positionV relativeFrom="paragraph">
                    <wp:posOffset>1332865</wp:posOffset>
                  </wp:positionV>
                  <wp:extent cx="3796030" cy="3103880"/>
                  <wp:effectExtent l="63500" t="50800" r="52070" b="71120"/>
                  <wp:wrapTopAndBottom/>
                  <wp:docPr id="29" name="图片 29" descr="红色革命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红色革命文化"/>
                          <pic:cNvPicPr>
                            <a:picLocks noChangeAspect="1"/>
                          </pic:cNvPicPr>
                        </pic:nvPicPr>
                        <pic:blipFill>
                          <a:blip r:embed="rId32"/>
                          <a:stretch>
                            <a:fillRect/>
                          </a:stretch>
                        </pic:blipFill>
                        <pic:spPr>
                          <a:xfrm>
                            <a:off x="0" y="0"/>
                            <a:ext cx="3378835" cy="3127375"/>
                          </a:xfrm>
                          <a:prstGeom prst="rect">
                            <a:avLst/>
                          </a:prstGeom>
                          <a:noFill/>
                          <a:ln>
                            <a:noFill/>
                          </a:ln>
                          <a:effectLst>
                            <a:glow rad="63500">
                              <a:srgbClr val="267DE6">
                                <a:satMod val="175000"/>
                                <a:alpha val="40000"/>
                              </a:srgbClr>
                            </a:glow>
                          </a:effectLst>
                        </pic:spPr>
                      </pic:pic>
                    </a:graphicData>
                  </a:graphic>
                </wp:anchor>
              </w:drawing>
            </w:r>
            <w:r>
              <w:rPr>
                <w:rFonts w:hint="eastAsia" w:ascii="仿宋" w:hAnsi="仿宋" w:eastAsia="仿宋" w:cs="仿宋"/>
                <w:sz w:val="24"/>
                <w:szCs w:val="24"/>
                <w:lang w:val="en-US" w:eastAsia="zh-CN"/>
              </w:rPr>
              <w:t>为了让更多的人铭记红色历史，我们创建了“弘雅小播客”栏目，少儿玩伴团轮流担任小主播，通过电波和网络向更多的人传播常州三杰、七一勋章获得者等红色英雄、时代楷模的故事，至今已开设一百多期。今年10月，“弘雅小播客”栏目被评为“长三角之声红领巾广播站”，一次次的寻访，一次次的播报，学生的坚韧品质得以涵养生长。</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color w:val="000000"/>
                <w:sz w:val="24"/>
                <w:szCs w:val="24"/>
                <w:lang w:val="en-US" w:eastAsia="zh-CN"/>
              </w:rPr>
              <w:t>【图2：</w:t>
            </w:r>
            <w:r>
              <w:rPr>
                <w:rFonts w:hint="eastAsia" w:ascii="仿宋" w:hAnsi="仿宋" w:eastAsia="仿宋" w:cs="仿宋"/>
                <w:b/>
                <w:bCs/>
                <w:sz w:val="24"/>
                <w:szCs w:val="24"/>
                <w:lang w:val="en-US" w:eastAsia="zh-CN"/>
              </w:rPr>
              <w:t>红色革命文化场域</w:t>
            </w:r>
            <w:r>
              <w:rPr>
                <w:rFonts w:hint="eastAsia" w:ascii="仿宋" w:hAnsi="仿宋" w:eastAsia="仿宋" w:cs="仿宋"/>
                <w:b/>
                <w:bCs/>
                <w:color w:val="000000"/>
                <w:sz w:val="24"/>
                <w:szCs w:val="24"/>
                <w:lang w:val="en-US" w:eastAsia="zh-CN"/>
              </w:rPr>
              <w:t>建构图】</w:t>
            </w:r>
          </w:p>
          <w:p>
            <w:pPr>
              <w:keepNext w:val="0"/>
              <w:keepLines w:val="0"/>
              <w:pageBreakBefore w:val="0"/>
              <w:kinsoku/>
              <w:wordWrap/>
              <w:overflowPunct/>
              <w:topLinePunct w:val="0"/>
              <w:autoSpaceDE/>
              <w:autoSpaceDN/>
              <w:bidi w:val="0"/>
              <w:spacing w:line="340" w:lineRule="exact"/>
              <w:ind w:firstLine="482" w:firstLineChars="200"/>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（3）在社会主义先进文化场域中培养生活智慧</w:t>
            </w:r>
          </w:p>
          <w:p>
            <w:pPr>
              <w:keepNext w:val="0"/>
              <w:keepLines w:val="0"/>
              <w:pageBreakBefore w:val="0"/>
              <w:kinsoku/>
              <w:wordWrap/>
              <w:overflowPunct/>
              <w:topLinePunct w:val="0"/>
              <w:autoSpaceDE/>
              <w:autoSpaceDN/>
              <w:bidi w:val="0"/>
              <w:spacing w:beforeLines="0" w:afterLines="0" w:line="340" w:lineRule="exact"/>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我们打造智慧农场、创客体验馆、道德大讲堂、财商实践区、餐饮礼仪岗、劳动体验营和融合教育馆等为主的校内改革实践文化场域，校外有三江口公益宣讲广场、江南环球港、</w:t>
            </w:r>
            <w:r>
              <w:rPr>
                <w:rFonts w:hint="eastAsia" w:ascii="仿宋" w:hAnsi="仿宋" w:eastAsia="仿宋" w:cs="仿宋"/>
                <w:b w:val="0"/>
                <w:bCs/>
                <w:sz w:val="24"/>
                <w:szCs w:val="24"/>
                <w:shd w:val="clear" w:color="auto" w:fill="FFFFFF"/>
                <w:lang w:val="en-US"/>
              </w:rPr>
              <w:t>天合光能</w:t>
            </w:r>
            <w:r>
              <w:rPr>
                <w:rFonts w:hint="eastAsia" w:ascii="仿宋" w:hAnsi="仿宋" w:eastAsia="仿宋" w:cs="仿宋"/>
                <w:b w:val="0"/>
                <w:bCs/>
                <w:sz w:val="24"/>
                <w:szCs w:val="24"/>
                <w:shd w:val="clear" w:color="auto" w:fill="FFFFFF"/>
                <w:lang w:val="en-US" w:eastAsia="zh-CN"/>
              </w:rPr>
              <w:t>、</w:t>
            </w:r>
            <w:r>
              <w:rPr>
                <w:rFonts w:hint="eastAsia" w:ascii="仿宋" w:hAnsi="仿宋" w:eastAsia="仿宋" w:cs="仿宋"/>
                <w:b w:val="0"/>
                <w:bCs/>
                <w:sz w:val="24"/>
                <w:szCs w:val="24"/>
                <w:shd w:val="clear" w:color="auto" w:fill="FFFFFF"/>
                <w:lang w:val="en-US"/>
              </w:rPr>
              <w:t>太平通讯</w:t>
            </w:r>
            <w:r>
              <w:rPr>
                <w:rFonts w:hint="eastAsia" w:ascii="仿宋" w:hAnsi="仿宋" w:eastAsia="仿宋" w:cs="仿宋"/>
                <w:b w:val="0"/>
                <w:bCs/>
                <w:sz w:val="24"/>
                <w:szCs w:val="24"/>
                <w:shd w:val="clear" w:color="auto" w:fill="FFFFFF"/>
                <w:lang w:val="en-US" w:eastAsia="zh-CN"/>
              </w:rPr>
              <w:t>、</w:t>
            </w:r>
            <w:r>
              <w:rPr>
                <w:rFonts w:hint="eastAsia" w:ascii="仿宋" w:hAnsi="仿宋" w:eastAsia="仿宋" w:cs="仿宋"/>
                <w:b w:val="0"/>
                <w:bCs/>
                <w:sz w:val="24"/>
                <w:szCs w:val="24"/>
                <w:shd w:val="clear" w:color="auto" w:fill="FFFFFF"/>
                <w:lang w:val="en-US"/>
              </w:rPr>
              <w:t>常州气象</w:t>
            </w:r>
            <w:r>
              <w:rPr>
                <w:rFonts w:hint="eastAsia" w:ascii="仿宋" w:hAnsi="仿宋" w:eastAsia="仿宋" w:cs="仿宋"/>
                <w:sz w:val="24"/>
                <w:szCs w:val="24"/>
                <w:lang w:val="en-US" w:eastAsia="zh-CN"/>
              </w:rPr>
              <w:t>局、光大环保技术有限公司、常州市粮食文化馆和未成年人成长指导中心等。我们充分借助周边高科技企业的优势，强化教育、科技、人才一体化发展理念，开发了“少年硅谷”课程，涵盖智能生态、未来城市和智玩科创三个子项目，根据低中高年段学生特点，进行3阶课程内容体系建构。横向看，涵盖智能生态、未来城市和智玩科创子项目活动，纵向看，关注学生年龄特点，由浅入深，由表及里，螺旋上升，进阶设计。该课程为儿童打开一扇面向未来、丰富多彩的科技大门。吴悠然同学，在“少年硅谷”项目的滋养下，她爱上了发明创造。今年暑假，她提出的科学建议——《关于打造城市新能源储能住宅》被评为“我为高质量发展献一计”省一等奖，她被评为江苏省少年科学院“小院士”。</w:t>
            </w:r>
          </w:p>
          <w:p>
            <w:pPr>
              <w:keepNext w:val="0"/>
              <w:keepLines w:val="0"/>
              <w:pageBreakBefore w:val="0"/>
              <w:kinsoku/>
              <w:wordWrap/>
              <w:overflowPunct/>
              <w:topLinePunct w:val="0"/>
              <w:autoSpaceDE/>
              <w:autoSpaceDN/>
              <w:bidi w:val="0"/>
              <w:spacing w:beforeLines="0" w:afterLines="0" w:line="340" w:lineRule="exact"/>
              <w:ind w:firstLine="480"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sz w:val="24"/>
                <w:szCs w:val="24"/>
                <w:lang w:val="en-US" w:eastAsia="zh-CN"/>
              </w:rPr>
              <w:t>“少年硅谷”课程也得到了天合光能、永安行等科技企业的支持。今年暑期，天合公益基金会的“双碳进校园”项目入驻我校，从整个学校的“开学第一课”到六年级7次面向全校的研究性学习成果汇报，均围绕“双碳”这一主题展开。活动得到“新华网”、“中吴网”媒体报道。在寻访、探索中，一颗颗科学的种子在幼小的心灵发芽、生长……2022年，“少年硅谷”课程基地获得区级立项。2023年，“少年硅谷”获评常州市“新优质学校”高品质项目。</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8"/>
                <w:szCs w:val="28"/>
                <w:lang w:eastAsia="zh-CN"/>
              </w:rPr>
              <w:drawing>
                <wp:anchor distT="0" distB="0" distL="114300" distR="114300" simplePos="0" relativeHeight="251672576" behindDoc="0" locked="0" layoutInCell="1" allowOverlap="1">
                  <wp:simplePos x="0" y="0"/>
                  <wp:positionH relativeFrom="column">
                    <wp:posOffset>646430</wp:posOffset>
                  </wp:positionH>
                  <wp:positionV relativeFrom="paragraph">
                    <wp:posOffset>165100</wp:posOffset>
                  </wp:positionV>
                  <wp:extent cx="3970020" cy="3776980"/>
                  <wp:effectExtent l="63500" t="50800" r="55880" b="71120"/>
                  <wp:wrapTopAndBottom/>
                  <wp:docPr id="30" name="图片 30" descr="社会主义先进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会主义先进文化"/>
                          <pic:cNvPicPr>
                            <a:picLocks noChangeAspect="1"/>
                          </pic:cNvPicPr>
                        </pic:nvPicPr>
                        <pic:blipFill>
                          <a:blip r:embed="rId33"/>
                          <a:stretch>
                            <a:fillRect/>
                          </a:stretch>
                        </pic:blipFill>
                        <pic:spPr>
                          <a:xfrm>
                            <a:off x="1978660" y="5483860"/>
                            <a:ext cx="3648710" cy="3321050"/>
                          </a:xfrm>
                          <a:prstGeom prst="rect">
                            <a:avLst/>
                          </a:prstGeom>
                          <a:noFill/>
                          <a:ln>
                            <a:noFill/>
                          </a:ln>
                          <a:effectLst>
                            <a:glow rad="63500">
                              <a:srgbClr val="267DE6">
                                <a:satMod val="175000"/>
                                <a:alpha val="40000"/>
                              </a:srgbClr>
                            </a:glow>
                          </a:effectLst>
                        </pic:spPr>
                      </pic:pic>
                    </a:graphicData>
                  </a:graphic>
                </wp:anchor>
              </w:drawing>
            </w:r>
            <w:r>
              <w:rPr>
                <w:rFonts w:hint="eastAsia" w:ascii="仿宋" w:hAnsi="仿宋" w:eastAsia="仿宋" w:cs="仿宋"/>
                <w:b/>
                <w:bCs/>
                <w:color w:val="000000"/>
                <w:sz w:val="24"/>
                <w:szCs w:val="24"/>
                <w:lang w:val="en-US" w:eastAsia="zh-CN"/>
              </w:rPr>
              <w:t>【图3：</w:t>
            </w:r>
            <w:r>
              <w:rPr>
                <w:rFonts w:hint="eastAsia" w:ascii="仿宋" w:hAnsi="仿宋" w:eastAsia="仿宋" w:cs="仿宋"/>
                <w:b/>
                <w:bCs/>
                <w:sz w:val="24"/>
                <w:szCs w:val="24"/>
                <w:lang w:val="en-US" w:eastAsia="zh-CN"/>
              </w:rPr>
              <w:t>社会主义先进文化场域</w:t>
            </w:r>
            <w:r>
              <w:rPr>
                <w:rFonts w:hint="eastAsia" w:ascii="仿宋" w:hAnsi="仿宋" w:eastAsia="仿宋" w:cs="仿宋"/>
                <w:b/>
                <w:bCs/>
                <w:color w:val="000000"/>
                <w:sz w:val="24"/>
                <w:szCs w:val="24"/>
                <w:lang w:val="en-US" w:eastAsia="zh-CN"/>
              </w:rPr>
              <w:t>建构图】</w:t>
            </w:r>
          </w:p>
          <w:p>
            <w:pPr>
              <w:keepNext w:val="0"/>
              <w:keepLines w:val="0"/>
              <w:pageBreakBefore w:val="0"/>
              <w:numPr>
                <w:ilvl w:val="0"/>
                <w:numId w:val="6"/>
              </w:numPr>
              <w:kinsoku/>
              <w:wordWrap/>
              <w:overflowPunct/>
              <w:topLinePunct w:val="0"/>
              <w:autoSpaceDE/>
              <w:autoSpaceDN/>
              <w:bidi w:val="0"/>
              <w:spacing w:line="340" w:lineRule="exact"/>
              <w:ind w:firstLine="482" w:firstLineChars="20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学生主体，共建课程实施范式。</w:t>
            </w:r>
          </w:p>
          <w:p>
            <w:pPr>
              <w:keepNext w:val="0"/>
              <w:keepLines w:val="0"/>
              <w:pageBreakBefore w:val="0"/>
              <w:numPr>
                <w:ilvl w:val="0"/>
                <w:numId w:val="0"/>
              </w:numPr>
              <w:kinsoku/>
              <w:wordWrap/>
              <w:overflowPunct/>
              <w:topLinePunct w:val="0"/>
              <w:autoSpaceDE/>
              <w:autoSpaceDN/>
              <w:bidi w:val="0"/>
              <w:spacing w:line="340" w:lineRule="exact"/>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在</w:t>
            </w:r>
            <w:r>
              <w:rPr>
                <w:rFonts w:hint="eastAsia" w:ascii="仿宋" w:hAnsi="仿宋" w:eastAsia="仿宋" w:cs="仿宋"/>
                <w:sz w:val="24"/>
                <w:szCs w:val="24"/>
              </w:rPr>
              <w:t>课程实施实践中</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我们</w:t>
            </w:r>
            <w:r>
              <w:rPr>
                <w:rFonts w:hint="eastAsia" w:ascii="仿宋" w:hAnsi="仿宋" w:eastAsia="仿宋" w:cs="仿宋"/>
                <w:sz w:val="24"/>
                <w:szCs w:val="24"/>
              </w:rPr>
              <w:t>尝试打通校内外时空，融通校内外</w:t>
            </w:r>
            <w:r>
              <w:rPr>
                <w:rFonts w:hint="eastAsia" w:ascii="仿宋" w:hAnsi="仿宋" w:eastAsia="仿宋" w:cs="仿宋"/>
                <w:sz w:val="24"/>
                <w:szCs w:val="24"/>
                <w:lang w:val="en-US" w:eastAsia="zh-CN"/>
              </w:rPr>
              <w:t>三</w:t>
            </w:r>
            <w:r>
              <w:rPr>
                <w:rFonts w:hint="eastAsia" w:ascii="仿宋" w:hAnsi="仿宋" w:eastAsia="仿宋" w:cs="仿宋"/>
                <w:sz w:val="24"/>
                <w:szCs w:val="24"/>
              </w:rPr>
              <w:t>大场域资源。基于课程实施中家校社企政多主体的参与样态，为了真正发挥学生主体作用，促使场域活动的有序推进，提高协同育人效能，我们不仅在实践中逐步确立了选题论证、动员发布、实施现场、评价总结为主的四级推进流程，还梳理了活动四级推进过程中学生、家长、教师、社会人士（包括企事业单位和公益组织工作人员）的职责。由此，逐渐形成了我校弘雅品格提升课程实施的实践范式，促使学生弘雅品格培育真正落实到具体实践体验中。</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sz w:val="24"/>
                <w:szCs w:val="24"/>
                <w:lang w:val="en-US" w:eastAsia="zh-CN"/>
              </w:rPr>
            </w:pPr>
            <w:r>
              <w:rPr>
                <w:rFonts w:hint="eastAsia" w:ascii="仿宋" w:hAnsi="仿宋" w:eastAsia="仿宋" w:cs="仿宋"/>
                <w:sz w:val="24"/>
                <w:szCs w:val="24"/>
              </w:rPr>
              <w:drawing>
                <wp:anchor distT="0" distB="0" distL="114300" distR="114300" simplePos="0" relativeHeight="251673600" behindDoc="0" locked="0" layoutInCell="1" allowOverlap="1">
                  <wp:simplePos x="0" y="0"/>
                  <wp:positionH relativeFrom="column">
                    <wp:posOffset>65405</wp:posOffset>
                  </wp:positionH>
                  <wp:positionV relativeFrom="paragraph">
                    <wp:posOffset>-4018915</wp:posOffset>
                  </wp:positionV>
                  <wp:extent cx="5247640" cy="3702685"/>
                  <wp:effectExtent l="12700" t="12700" r="22860" b="18415"/>
                  <wp:wrapTopAndBottom/>
                  <wp:docPr id="31" name="图片 65" descr="实践范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5" descr="实践范式"/>
                          <pic:cNvPicPr>
                            <a:picLocks noChangeAspect="1"/>
                          </pic:cNvPicPr>
                        </pic:nvPicPr>
                        <pic:blipFill>
                          <a:blip r:embed="rId34"/>
                          <a:stretch>
                            <a:fillRect/>
                          </a:stretch>
                        </pic:blipFill>
                        <pic:spPr>
                          <a:xfrm>
                            <a:off x="0" y="0"/>
                            <a:ext cx="5247640" cy="3702685"/>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仿宋" w:hAnsi="仿宋" w:eastAsia="仿宋" w:cs="仿宋"/>
                <w:b/>
                <w:color w:val="000000"/>
                <w:sz w:val="24"/>
                <w:szCs w:val="24"/>
                <w:lang w:val="en-US" w:eastAsia="zh-CN"/>
              </w:rPr>
              <w:t>【图4：</w:t>
            </w:r>
            <w:r>
              <w:rPr>
                <w:rFonts w:hint="eastAsia" w:ascii="仿宋" w:hAnsi="仿宋" w:eastAsia="仿宋" w:cs="仿宋"/>
                <w:b/>
                <w:color w:val="000000"/>
                <w:sz w:val="24"/>
                <w:szCs w:val="24"/>
              </w:rPr>
              <w:t>弘雅品格培育课程实施整体范式</w:t>
            </w:r>
            <w:r>
              <w:rPr>
                <w:rFonts w:hint="eastAsia" w:ascii="仿宋" w:hAnsi="仿宋" w:eastAsia="仿宋" w:cs="仿宋"/>
                <w:b/>
                <w:color w:val="000000"/>
                <w:sz w:val="24"/>
                <w:szCs w:val="24"/>
                <w:lang w:val="en-US" w:eastAsia="zh-CN"/>
              </w:rPr>
              <w:t>图】</w:t>
            </w:r>
          </w:p>
          <w:p>
            <w:pPr>
              <w:keepNext w:val="0"/>
              <w:keepLines w:val="0"/>
              <w:pageBreakBefore w:val="0"/>
              <w:kinsoku/>
              <w:wordWrap/>
              <w:overflowPunct/>
              <w:topLinePunct w:val="0"/>
              <w:autoSpaceDE/>
              <w:autoSpaceDN/>
              <w:bidi w:val="0"/>
              <w:spacing w:line="340" w:lineRule="exact"/>
              <w:ind w:firstLine="482" w:firstLineChars="200"/>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（四）整合融通，实施特色评价激励</w:t>
            </w:r>
          </w:p>
          <w:p>
            <w:pPr>
              <w:keepNext w:val="0"/>
              <w:keepLines w:val="0"/>
              <w:pageBreakBefore w:val="0"/>
              <w:kinsoku/>
              <w:wordWrap/>
              <w:overflowPunct/>
              <w:topLinePunct w:val="0"/>
              <w:autoSpaceDE/>
              <w:autoSpaceDN/>
              <w:bidi w:val="0"/>
              <w:spacing w:line="340" w:lineRule="exact"/>
              <w:ind w:firstLine="482" w:firstLineChars="200"/>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1.全员卷入，打造展评一体平台</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立足于校园广播、升旗仪式和校园网络等阵地，我们打造线上、线下融通的学生研究性学习成果展示交流的立体平台——</w:t>
            </w:r>
            <w:r>
              <w:rPr>
                <w:rFonts w:hint="eastAsia" w:ascii="仿宋" w:hAnsi="仿宋" w:eastAsia="仿宋" w:cs="仿宋"/>
                <w:sz w:val="24"/>
                <w:szCs w:val="24"/>
                <w:lang w:val="zh-CN" w:eastAsia="zh-CN"/>
              </w:rPr>
              <w:t>“弘雅</w:t>
            </w:r>
            <w:r>
              <w:rPr>
                <w:rFonts w:hint="eastAsia" w:ascii="仿宋" w:hAnsi="仿宋" w:eastAsia="仿宋" w:cs="仿宋"/>
                <w:sz w:val="24"/>
                <w:szCs w:val="24"/>
                <w:lang w:val="en-US" w:eastAsia="zh-CN"/>
              </w:rPr>
              <w:t>小播客”，致力于让每一位学生都成为传递弘雅文化的“小播客”，促进学生以喜闻乐见的方式传承弘雅文化，成为弘雅美少年。紧紧围绕学生“弘雅品格"的培养目标和学生年段成长需求，我们均以学生为参与主体。在展示交流内容方面，将上述三大场域课程内容融入其中，做到了课程实施与展评一体化。在参与主体方面，每一期的“弘雅小播客”由一个班级学生为展示主体，班级轮流，卷入全校师生观看，真正实现了全员参与。在升旗仪式上，会为班级评选的文雅星、智慧星、坚韧星学生颁发荣誉证书，让学生感受成为弘雅少年的荣誉感，也激励着全校学生朝着弘雅少年的目标努力。每周五中午的校园广播电视台还会推出一期“弘雅小播客”栏目，围绕中华优秀传统文化、红个革命文化及社会主义先进文化的大主题，每学期长程系统设计小主题，由担任策划录制的班级呈现教育内容，如“走进唐宋八大家”、“7・1 英雄故事会”、“红歌背后的红色故事”、“致敬！英雄！”、“红领巾寻访伟大成就”等，学生在项目式学习主题学习中进行丰富的实践体验，收获满满。</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sz w:val="24"/>
                <w:szCs w:val="24"/>
                <w:lang w:val="en-US"/>
              </w:rPr>
            </w:pPr>
            <w:r>
              <w:rPr>
                <w:rFonts w:hint="eastAsia" w:ascii="仿宋" w:hAnsi="仿宋" w:eastAsia="仿宋" w:cs="仿宋"/>
                <w:sz w:val="24"/>
                <w:szCs w:val="24"/>
                <w:lang w:val="en-US" w:eastAsia="zh-CN"/>
              </w:rPr>
              <w:t>同时，我们还结合</w:t>
            </w:r>
            <w:r>
              <w:rPr>
                <w:rFonts w:hint="eastAsia" w:ascii="仿宋" w:hAnsi="仿宋" w:eastAsia="仿宋" w:cs="仿宋"/>
                <w:b w:val="0"/>
                <w:bCs w:val="0"/>
                <w:sz w:val="24"/>
                <w:szCs w:val="24"/>
                <w:lang w:val="en-US" w:eastAsia="zh-CN"/>
              </w:rPr>
              <w:t>“六一”与元旦这两个特殊的节日，</w:t>
            </w:r>
            <w:r>
              <w:rPr>
                <w:rFonts w:hint="eastAsia" w:ascii="仿宋" w:hAnsi="仿宋" w:eastAsia="仿宋" w:cs="仿宋"/>
                <w:sz w:val="24"/>
                <w:szCs w:val="24"/>
                <w:lang w:val="en-US" w:eastAsia="zh-CN"/>
              </w:rPr>
              <w:t>打造了基于三大文化融通的展评一体线下游园活动。</w:t>
            </w:r>
            <w:r>
              <w:rPr>
                <w:rFonts w:hint="eastAsia" w:ascii="仿宋" w:hAnsi="仿宋" w:eastAsia="仿宋" w:cs="仿宋"/>
                <w:b w:val="0"/>
                <w:bCs w:val="0"/>
                <w:sz w:val="24"/>
                <w:szCs w:val="24"/>
                <w:lang w:val="en-US" w:eastAsia="zh-CN"/>
              </w:rPr>
              <w:t>2021年6月1日，学校开展了“童心品诗韵  筑梦新时代”展评活动，全体同学以项目体验的方式参与游园，互学共学。大家在商周大厅赏诗词作品，龙娃剧场展诗词素养，弘雅书院看红色影片，师道广场看社团学生表演诗词节目，表演红剧，国学馆创格律诗词，常州吟诵馆学常州吟诵，智慧农场答题闯关赢菜苗，文化连廊品端午文化，包粽品粽做香囊。市委书记陈金虎等市四套班子领导专程来到我校，参加本次“童心品诗韵 筑梦新时代”庆祝“六一”主题活动，参观体验了诗意盆景、手绘团扇、智慧农场、包粽子等项目，对学校特色文化建设、课程建设、师生发展等方面取得的成果给予了肯定。在本次游园中，学生智慧、文雅、坚韧的弘雅特质在展示与评价中得以逐渐内化。</w:t>
            </w:r>
          </w:p>
          <w:p>
            <w:pPr>
              <w:keepNext w:val="0"/>
              <w:keepLines w:val="0"/>
              <w:pageBreakBefore w:val="0"/>
              <w:widowControl w:val="0"/>
              <w:kinsoku/>
              <w:wordWrap/>
              <w:overflowPunct/>
              <w:topLinePunct w:val="0"/>
              <w:autoSpaceDE/>
              <w:autoSpaceDN/>
              <w:bidi w:val="0"/>
              <w:spacing w:line="340" w:lineRule="exact"/>
              <w:jc w:val="both"/>
              <w:textAlignment w:val="auto"/>
              <w:rPr>
                <w:rFonts w:hint="default" w:ascii="仿宋" w:hAnsi="仿宋" w:eastAsia="仿宋" w:cs="仿宋"/>
                <w:color w:val="000000"/>
                <w:spacing w:val="0"/>
                <w:w w:val="100"/>
                <w:position w:val="0"/>
                <w:sz w:val="24"/>
                <w:szCs w:val="24"/>
                <w:lang w:val="en-US" w:eastAsia="zh-CN"/>
              </w:rPr>
            </w:pPr>
            <w:r>
              <w:rPr>
                <w:rFonts w:hint="eastAsia" w:ascii="仿宋" w:hAnsi="仿宋" w:eastAsia="仿宋" w:cs="仿宋"/>
                <w:color w:val="000000"/>
                <w:spacing w:val="0"/>
                <w:w w:val="100"/>
                <w:position w:val="0"/>
                <w:sz w:val="24"/>
                <w:szCs w:val="24"/>
                <w:lang w:val="en-US" w:eastAsia="zh-CN"/>
              </w:rPr>
              <w:t xml:space="preserve">   </w:t>
            </w:r>
            <w:r>
              <w:rPr>
                <w:rFonts w:hint="eastAsia" w:ascii="仿宋" w:hAnsi="仿宋" w:eastAsia="仿宋" w:cs="仿宋"/>
                <w:b/>
                <w:bCs/>
                <w:color w:val="000000"/>
                <w:spacing w:val="0"/>
                <w:w w:val="100"/>
                <w:position w:val="0"/>
                <w:sz w:val="24"/>
                <w:szCs w:val="24"/>
                <w:lang w:val="en-US" w:eastAsia="zh-CN"/>
              </w:rPr>
              <w:t xml:space="preserve"> 2.多方协同，完善两类长程评价</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一是完善面向具体场域课程中的学生特色评价。</w:t>
            </w:r>
            <w:r>
              <w:rPr>
                <w:rFonts w:hint="eastAsia" w:ascii="仿宋" w:hAnsi="仿宋" w:eastAsia="仿宋" w:cs="仿宋"/>
                <w:b w:val="0"/>
                <w:bCs w:val="0"/>
                <w:color w:val="auto"/>
                <w:sz w:val="24"/>
                <w:szCs w:val="24"/>
              </w:rPr>
              <w:t>根据具体场域活动的类别，结合学生表现给予特色奖章激励</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奖章由当月该活动家校社导师团核心成员（家长、任课教师、班主任或社会人士）认定颁发。</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val="0"/>
                <w:bCs w:val="0"/>
                <w:color w:val="auto"/>
                <w:sz w:val="24"/>
                <w:szCs w:val="24"/>
                <w:lang w:val="en-US" w:eastAsia="zh-CN"/>
              </w:rPr>
              <w:t>二是</w:t>
            </w:r>
            <w:r>
              <w:rPr>
                <w:rFonts w:hint="eastAsia" w:ascii="仿宋" w:hAnsi="仿宋" w:eastAsia="仿宋" w:cs="仿宋"/>
                <w:b w:val="0"/>
                <w:bCs w:val="0"/>
                <w:color w:val="auto"/>
                <w:sz w:val="24"/>
                <w:szCs w:val="24"/>
              </w:rPr>
              <w:t>完善面向每位学生的十二级弘雅奖章</w:t>
            </w:r>
            <w:r>
              <w:rPr>
                <w:rFonts w:hint="eastAsia" w:ascii="仿宋" w:hAnsi="仿宋" w:eastAsia="仿宋" w:cs="仿宋"/>
                <w:b w:val="0"/>
                <w:bCs w:val="0"/>
                <w:color w:val="auto"/>
                <w:sz w:val="24"/>
                <w:szCs w:val="24"/>
                <w:lang w:val="en-US" w:eastAsia="zh-CN"/>
              </w:rPr>
              <w:t>长程</w:t>
            </w:r>
            <w:r>
              <w:rPr>
                <w:rFonts w:hint="eastAsia" w:ascii="仿宋" w:hAnsi="仿宋" w:eastAsia="仿宋" w:cs="仿宋"/>
                <w:b w:val="0"/>
                <w:bCs w:val="0"/>
                <w:color w:val="auto"/>
                <w:sz w:val="24"/>
                <w:szCs w:val="24"/>
              </w:rPr>
              <w:t>评价制度。</w:t>
            </w:r>
            <w:r>
              <w:rPr>
                <w:rFonts w:hint="eastAsia" w:ascii="仿宋" w:hAnsi="仿宋" w:eastAsia="仿宋" w:cs="仿宋"/>
                <w:b w:val="0"/>
                <w:bCs/>
                <w:color w:val="auto"/>
                <w:sz w:val="24"/>
                <w:szCs w:val="24"/>
              </w:rPr>
              <w:t>即从一年级开始，综合考虑每位学生在“文雅”“智慧”“坚韧”三方面的争章表现，评定能否获得相应弘雅等级奖章。一学期可晋升一级，六年可晋级获得弘雅十二级奖章，毕业时颁发“弘雅</w:t>
            </w:r>
            <w:r>
              <w:rPr>
                <w:rFonts w:hint="eastAsia" w:ascii="仿宋" w:hAnsi="仿宋" w:eastAsia="仿宋" w:cs="仿宋"/>
                <w:b w:val="0"/>
                <w:bCs/>
                <w:color w:val="auto"/>
                <w:sz w:val="24"/>
                <w:szCs w:val="24"/>
                <w:lang w:val="en-US" w:eastAsia="zh-CN"/>
              </w:rPr>
              <w:t>美</w:t>
            </w:r>
            <w:r>
              <w:rPr>
                <w:rFonts w:hint="eastAsia" w:ascii="仿宋" w:hAnsi="仿宋" w:eastAsia="仿宋" w:cs="仿宋"/>
                <w:b w:val="0"/>
                <w:bCs/>
                <w:color w:val="auto"/>
                <w:sz w:val="24"/>
                <w:szCs w:val="24"/>
              </w:rPr>
              <w:t>少年”</w:t>
            </w:r>
            <w:r>
              <w:rPr>
                <w:rFonts w:hint="eastAsia" w:ascii="仿宋" w:hAnsi="仿宋" w:eastAsia="仿宋" w:cs="仿宋"/>
                <w:b w:val="0"/>
                <w:bCs/>
                <w:color w:val="auto"/>
                <w:sz w:val="24"/>
                <w:szCs w:val="24"/>
                <w:lang w:val="en-US" w:eastAsia="zh-CN"/>
              </w:rPr>
              <w:t>证书</w:t>
            </w:r>
            <w:r>
              <w:rPr>
                <w:rFonts w:hint="eastAsia" w:ascii="仿宋" w:hAnsi="仿宋" w:eastAsia="仿宋" w:cs="仿宋"/>
                <w:b w:val="0"/>
                <w:bCs/>
                <w:color w:val="auto"/>
                <w:sz w:val="24"/>
                <w:szCs w:val="24"/>
              </w:rPr>
              <w:t>。学期末未能顺利晋级的学生，可针对其弱项，在寒暑假通过参加相应</w:t>
            </w:r>
            <w:r>
              <w:rPr>
                <w:rFonts w:hint="eastAsia" w:ascii="仿宋" w:hAnsi="仿宋" w:eastAsia="仿宋" w:cs="仿宋"/>
                <w:b w:val="0"/>
                <w:bCs/>
                <w:color w:val="auto"/>
                <w:sz w:val="24"/>
                <w:szCs w:val="24"/>
                <w:lang w:val="en-US" w:eastAsia="zh-CN"/>
              </w:rPr>
              <w:t>三大场域</w:t>
            </w:r>
            <w:r>
              <w:rPr>
                <w:rFonts w:hint="eastAsia" w:ascii="仿宋" w:hAnsi="仿宋" w:eastAsia="仿宋" w:cs="仿宋"/>
                <w:b w:val="0"/>
                <w:bCs/>
                <w:color w:val="auto"/>
                <w:sz w:val="24"/>
                <w:szCs w:val="24"/>
              </w:rPr>
              <w:t>实践活动弥补。</w:t>
            </w:r>
          </w:p>
          <w:p>
            <w:pPr>
              <w:keepNext w:val="0"/>
              <w:keepLines w:val="0"/>
              <w:pageBreakBefore w:val="0"/>
              <w:widowControl w:val="0"/>
              <w:kinsoku/>
              <w:wordWrap/>
              <w:overflowPunct/>
              <w:topLinePunct w:val="0"/>
              <w:autoSpaceDE/>
              <w:autoSpaceDN/>
              <w:bidi w:val="0"/>
              <w:adjustRightInd/>
              <w:snapToGrid/>
              <w:spacing w:line="34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经过协商论证，我们整体设计了弘雅学生争章进阶体系，制定了以学期为单位的弘雅少年争章记录细则。</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val="0"/>
                <w:bCs w:val="0"/>
                <w:sz w:val="24"/>
                <w:szCs w:val="24"/>
                <w:lang w:val="en-US" w:eastAsia="zh-CN"/>
              </w:rPr>
              <w:t>将学生、老师、家长和社会人士融入评价主体，根据学生每月场域活动中在文雅、智慧、坚韧三方面的具体表现进行特色评价。每学期（含假日）三大场域课程活动中分别能集满文雅章、智慧章、坚韧章各2枚，即可成功晋级相应年级的弘雅少年等级。一年级上下两学期分别设弘雅少年一级、弘雅少年二级，以此类推。这样至六年级，学生将会收获一枚“弘雅美少年”奖章。</w:t>
            </w:r>
          </w:p>
          <w:p>
            <w:pPr>
              <w:keepNext w:val="0"/>
              <w:keepLines w:val="0"/>
              <w:pageBreakBefore w:val="0"/>
              <w:kinsoku/>
              <w:wordWrap/>
              <w:overflowPunct/>
              <w:topLinePunct w:val="0"/>
              <w:autoSpaceDE/>
              <w:autoSpaceDN/>
              <w:bidi w:val="0"/>
              <w:spacing w:line="340" w:lineRule="exact"/>
              <w:jc w:val="center"/>
              <w:textAlignment w:val="auto"/>
              <w:rPr>
                <w:rFonts w:hint="eastAsia" w:ascii="仿宋" w:hAnsi="仿宋" w:eastAsia="仿宋" w:cs="仿宋"/>
                <w:b/>
                <w:bCs w:val="0"/>
                <w:color w:val="auto"/>
                <w:kern w:val="0"/>
                <w:sz w:val="24"/>
                <w:szCs w:val="24"/>
                <w:lang w:val="en-US" w:eastAsia="zh-CN"/>
              </w:rPr>
            </w:pPr>
            <w:r>
              <w:rPr>
                <w:rFonts w:hint="eastAsia" w:ascii="仿宋" w:hAnsi="仿宋" w:eastAsia="仿宋" w:cs="仿宋"/>
                <w:b w:val="0"/>
                <w:bCs w:val="0"/>
                <w:sz w:val="24"/>
                <w:szCs w:val="24"/>
                <w:lang w:val="en-US" w:eastAsia="zh-CN"/>
              </w:rPr>
              <w:drawing>
                <wp:anchor distT="0" distB="0" distL="114300" distR="114300" simplePos="0" relativeHeight="251670528" behindDoc="0" locked="0" layoutInCell="1" allowOverlap="1">
                  <wp:simplePos x="0" y="0"/>
                  <wp:positionH relativeFrom="column">
                    <wp:posOffset>307975</wp:posOffset>
                  </wp:positionH>
                  <wp:positionV relativeFrom="paragraph">
                    <wp:posOffset>138430</wp:posOffset>
                  </wp:positionV>
                  <wp:extent cx="4676140" cy="1990725"/>
                  <wp:effectExtent l="63500" t="50800" r="60960" b="66675"/>
                  <wp:wrapTopAndBottom/>
                  <wp:docPr id="32" name="图片 1" descr="P)QVHB0ZC2N`ACCZU@TO_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P)QVHB0ZC2N`ACCZU@TO_XX"/>
                          <pic:cNvPicPr>
                            <a:picLocks noChangeAspect="1"/>
                          </pic:cNvPicPr>
                        </pic:nvPicPr>
                        <pic:blipFill>
                          <a:blip r:embed="rId35"/>
                          <a:stretch>
                            <a:fillRect/>
                          </a:stretch>
                        </pic:blipFill>
                        <pic:spPr>
                          <a:xfrm>
                            <a:off x="0" y="0"/>
                            <a:ext cx="5048885" cy="2204720"/>
                          </a:xfrm>
                          <a:prstGeom prst="rect">
                            <a:avLst/>
                          </a:prstGeom>
                          <a:noFill/>
                          <a:ln>
                            <a:noFill/>
                          </a:ln>
                          <a:effectLst>
                            <a:glow rad="63500">
                              <a:srgbClr val="267DE6">
                                <a:satMod val="175000"/>
                                <a:alpha val="40000"/>
                              </a:srgbClr>
                            </a:glow>
                          </a:effectLst>
                        </pic:spPr>
                      </pic:pic>
                    </a:graphicData>
                  </a:graphic>
                </wp:anchor>
              </w:drawing>
            </w:r>
            <w:r>
              <w:rPr>
                <w:rFonts w:hint="eastAsia" w:ascii="仿宋" w:hAnsi="仿宋" w:eastAsia="仿宋" w:cs="仿宋"/>
                <w:b/>
                <w:bCs/>
                <w:color w:val="000000"/>
                <w:sz w:val="24"/>
                <w:szCs w:val="24"/>
                <w:lang w:val="en-US" w:eastAsia="zh-CN"/>
              </w:rPr>
              <w:t>【图5：弘雅</w:t>
            </w:r>
            <w:r>
              <w:rPr>
                <w:rFonts w:hint="eastAsia" w:ascii="仿宋" w:hAnsi="仿宋" w:eastAsia="仿宋" w:cs="仿宋"/>
                <w:b/>
                <w:bCs/>
                <w:sz w:val="24"/>
                <w:szCs w:val="24"/>
                <w:lang w:val="en-US" w:eastAsia="zh-CN"/>
              </w:rPr>
              <w:t>学生十二级争章进阶图谱】</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三、成效与辐射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本项目扎实系统的推进给学校带来了内涵发展的机遇和空间。2021年11月1日，由省教育厅组织、江苏省基础教育课程基地建设指导中心、常州市教育局、常州市新北区教育局承办的2021年立项中小学课程基地和学校文化建设项目培训活动在我校举行。我校的“少儿国学”特色文化项目作为上一轮省级视导的优秀项目，承担示范引领、增强辐射的责任担当。同时，我们也借助“2021省课程基地与学校文化培训”这个活动，推广学校文化，扩大学校的影响力和知名度。学校众多主题活动被《常州晚报》、“学习强国”、“江苏省少先队”、“新华网”、“常州教育发布”等媒体报道推广达五十多次。项目组核心成员带动同年级组、同学科组教师共同卷入，教师们在实践的过程中也在不断梳理经验，提炼成果。项目组成员撰写的文章《培育学生弘雅品格的多维场域建构》2022年发表于全国中文核心期刊《小学教学研究》，另外还有多位成员有相关文章发表于省级期刊。林燕群撰写的项目实践案例《在参与社区文化治理中创生多元赋能的学习场》入选华东师范大学教育学部组织的全国社科重大课题“立德树人的落实机制研究”课题组2021年研讨会优秀案例。张洁老师的案育人故事获评常州市班主任育人故事一等奖。学校《“向美理念”下小学古诗文教学实践探索》获市基础教育教学成果奖二等奖。我校“弘雅好教师团队”被评为常州市重点培育“四有”好教师团队。林燕群老师获评“常州市特级班主任”，万婧老师、周菲老师先后获评“常州市骨干班主任”。张玲老师获评江苏省优秀科技辅导员。</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四、思考与展望</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未来，我们将持续关注学生的成长需求，最大限度地释放校园场域的育人价值，挖掘校外场域的有利资源，赋能学生成长的丰富性与可能性。我们将着重从以下几个方面推进：</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（一）场域升级。</w:t>
            </w:r>
            <w:r>
              <w:rPr>
                <w:rFonts w:hint="eastAsia" w:ascii="仿宋" w:hAnsi="仿宋" w:eastAsia="仿宋" w:cs="仿宋"/>
                <w:b w:val="0"/>
                <w:bCs w:val="0"/>
                <w:color w:val="auto"/>
                <w:sz w:val="24"/>
                <w:szCs w:val="24"/>
                <w:lang w:val="en-US" w:eastAsia="zh-CN"/>
              </w:rPr>
              <w:t>我们将继续为孩子们打造丰富多元的学习与实践的校内外场域，培育“弘雅少年”。重点与学校周边企业合作建设校内弘雅云学院，包含新建的“新能源科普街区”及专用教室、“智慧农场”等校内场馆的升级改造，校外天和田园农场的智能种植课程开发，还有与校外其他高新企业的进一步合作对接，让更适合、优质的场域为孩子品格养成提供沃土。</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textAlignment w:val="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（二）实践融通。</w:t>
            </w:r>
            <w:r>
              <w:rPr>
                <w:rFonts w:hint="eastAsia" w:ascii="仿宋" w:hAnsi="仿宋" w:eastAsia="仿宋" w:cs="仿宋"/>
                <w:b w:val="0"/>
                <w:bCs w:val="0"/>
                <w:color w:val="auto"/>
                <w:sz w:val="24"/>
                <w:szCs w:val="24"/>
                <w:lang w:val="en-US" w:eastAsia="zh-CN"/>
              </w:rPr>
              <w:t>学生是校内外场域课程的参与者，因此，非常有必要从全人的视角来审视我们目前所构建的三大文化场域与培育学生弘雅品格之间的内在关系，在课程实施过程中三大场域的育人资源及价值并不是互相孤立的。后期我们将根据场域资源及学生需求，加强三大文化场域的课程融合，跟进基于全人发展的场域活动策划。</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（三）优化评价：</w:t>
            </w:r>
            <w:r>
              <w:rPr>
                <w:rFonts w:hint="eastAsia" w:ascii="仿宋" w:hAnsi="仿宋" w:eastAsia="仿宋" w:cs="仿宋"/>
                <w:b w:val="0"/>
                <w:bCs w:val="0"/>
                <w:color w:val="auto"/>
                <w:sz w:val="24"/>
                <w:szCs w:val="24"/>
                <w:lang w:val="en-US" w:eastAsia="zh-CN"/>
              </w:rPr>
              <w:t>项目评价既是项目建设的重要内容，也是促进项目创新实施的发力点。在具体实践中我们将主要围绕“学生评价、教师评价、社会人士评价、项目目标达成度评价”四个维度建构该项目的评价体系，不断促进项目建设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2" w:firstLineChars="200"/>
              <w:textAlignment w:val="auto"/>
              <w:rPr>
                <w:rFonts w:hint="default"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（四）成果辐射：</w:t>
            </w:r>
            <w:r>
              <w:rPr>
                <w:rFonts w:hint="eastAsia" w:ascii="仿宋" w:hAnsi="仿宋" w:eastAsia="仿宋" w:cs="仿宋"/>
                <w:b w:val="0"/>
                <w:bCs w:val="0"/>
                <w:color w:val="auto"/>
                <w:sz w:val="24"/>
                <w:szCs w:val="24"/>
                <w:lang w:val="en-US" w:eastAsia="zh-CN"/>
              </w:rPr>
              <w:t>我们将通过媒体的宣传报道、参观学习等途径进行推广交流，让项目建设经验能为本地区学校推广实验提供借鉴和发挥幅射作用，联动区域内学校共同推进，带动周边地区更多的学生、教师、家长及社会人士参与到项目实践中来，实现家校社企政协同育人好生态的生成。</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sz w:val="24"/>
                <w:szCs w:val="24"/>
              </w:rPr>
            </w:pPr>
            <w:r>
              <w:rPr>
                <w:rFonts w:hint="eastAsia" w:ascii="仿宋" w:hAnsi="仿宋" w:eastAsia="仿宋" w:cs="仿宋"/>
                <w:b w:val="0"/>
                <w:bCs w:val="0"/>
                <w:color w:val="auto"/>
                <w:sz w:val="24"/>
                <w:szCs w:val="24"/>
                <w:lang w:val="en-US" w:eastAsia="zh-CN"/>
              </w:rPr>
              <w:t>我校的学生品格提升项目工程，在发展的进程中，不断面临新的问题和挑战，但是我们始终坚持行走，不断探索项目实施的进阶之道，努力实现关键品格与特色场域的有机融合，坚守学生立场，尝试校内外活动体验联动，不断发掘中华优秀传统文化、红色革命文化、社会主义先进文化与学校文化落地的融合创新，为培育“弘雅少年”，实现学生品格的全面提升，创造了更多可能性。</w:t>
            </w:r>
          </w:p>
        </w:tc>
      </w:tr>
    </w:tbl>
    <w:p/>
    <w:p/>
    <w:p/>
    <w:p/>
    <w:p/>
    <w:p/>
    <w:p>
      <w:pPr>
        <w:rPr>
          <w:rFonts w:hint="eastAsia" w:eastAsiaTheme="minorEastAsia"/>
          <w:lang w:eastAsia="zh-CN"/>
        </w:rPr>
      </w:pPr>
      <w:r>
        <w:rPr>
          <w:rFonts w:hint="eastAsia" w:eastAsiaTheme="minorEastAsia"/>
          <w:lang w:eastAsia="zh-CN"/>
        </w:rPr>
        <w:drawing>
          <wp:inline distT="0" distB="0" distL="114300" distR="114300">
            <wp:extent cx="4072255" cy="5287010"/>
            <wp:effectExtent l="0" t="0" r="8890" b="4445"/>
            <wp:docPr id="33" name="图片 33" descr="十佳德育特色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十佳德育特色项目"/>
                    <pic:cNvPicPr>
                      <a:picLocks noChangeAspect="1"/>
                    </pic:cNvPicPr>
                  </pic:nvPicPr>
                  <pic:blipFill>
                    <a:blip r:embed="rId36"/>
                    <a:stretch>
                      <a:fillRect/>
                    </a:stretch>
                  </pic:blipFill>
                  <pic:spPr>
                    <a:xfrm rot="5400000">
                      <a:off x="0" y="0"/>
                      <a:ext cx="4072255" cy="5287010"/>
                    </a:xfrm>
                    <a:prstGeom prst="rect">
                      <a:avLst/>
                    </a:prstGeom>
                  </pic:spPr>
                </pic:pic>
              </a:graphicData>
            </a:graphic>
          </wp:inline>
        </w:drawing>
      </w:r>
    </w:p>
    <w:p/>
    <w:p/>
    <w:p/>
    <w:p/>
    <w:p/>
    <w:p/>
    <w:p/>
    <w:p/>
    <w:p/>
    <w:p/>
    <w:p/>
    <w:p/>
    <w:p/>
    <w:p/>
    <w:p/>
    <w:p/>
    <w:p/>
    <w:p>
      <w:pPr>
        <w:rPr>
          <w:rFonts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29B18D"/>
    <w:multiLevelType w:val="singleLevel"/>
    <w:tmpl w:val="C929B18D"/>
    <w:lvl w:ilvl="0" w:tentative="0">
      <w:start w:val="3"/>
      <w:numFmt w:val="chineseCounting"/>
      <w:suff w:val="nothing"/>
      <w:lvlText w:val="（%1）"/>
      <w:lvlJc w:val="left"/>
      <w:rPr>
        <w:rFonts w:hint="eastAsia"/>
      </w:rPr>
    </w:lvl>
  </w:abstractNum>
  <w:abstractNum w:abstractNumId="1">
    <w:nsid w:val="CDA6F479"/>
    <w:multiLevelType w:val="singleLevel"/>
    <w:tmpl w:val="CDA6F479"/>
    <w:lvl w:ilvl="0" w:tentative="0">
      <w:start w:val="1"/>
      <w:numFmt w:val="chineseCounting"/>
      <w:suff w:val="nothing"/>
      <w:lvlText w:val="（%1）"/>
      <w:lvlJc w:val="left"/>
      <w:rPr>
        <w:rFonts w:hint="eastAsia"/>
      </w:rPr>
    </w:lvl>
  </w:abstractNum>
  <w:abstractNum w:abstractNumId="2">
    <w:nsid w:val="FBE2D039"/>
    <w:multiLevelType w:val="singleLevel"/>
    <w:tmpl w:val="FBE2D039"/>
    <w:lvl w:ilvl="0" w:tentative="0">
      <w:start w:val="2"/>
      <w:numFmt w:val="decimal"/>
      <w:lvlText w:val="%1."/>
      <w:lvlJc w:val="left"/>
      <w:pPr>
        <w:tabs>
          <w:tab w:val="left" w:pos="312"/>
        </w:tabs>
      </w:pPr>
    </w:lvl>
  </w:abstractNum>
  <w:abstractNum w:abstractNumId="3">
    <w:nsid w:val="26946176"/>
    <w:multiLevelType w:val="singleLevel"/>
    <w:tmpl w:val="26946176"/>
    <w:lvl w:ilvl="0" w:tentative="0">
      <w:start w:val="1"/>
      <w:numFmt w:val="chineseCounting"/>
      <w:suff w:val="nothing"/>
      <w:lvlText w:val="%1、"/>
      <w:lvlJc w:val="left"/>
      <w:rPr>
        <w:rFonts w:hint="eastAsia"/>
      </w:rPr>
    </w:lvl>
  </w:abstractNum>
  <w:abstractNum w:abstractNumId="4">
    <w:nsid w:val="2ECFBA03"/>
    <w:multiLevelType w:val="singleLevel"/>
    <w:tmpl w:val="2ECFBA03"/>
    <w:lvl w:ilvl="0" w:tentative="0">
      <w:start w:val="1"/>
      <w:numFmt w:val="decimal"/>
      <w:lvlText w:val="%1."/>
      <w:lvlJc w:val="left"/>
      <w:pPr>
        <w:tabs>
          <w:tab w:val="left" w:pos="312"/>
        </w:tabs>
      </w:pPr>
    </w:lvl>
  </w:abstractNum>
  <w:abstractNum w:abstractNumId="5">
    <w:nsid w:val="6EF67136"/>
    <w:multiLevelType w:val="singleLevel"/>
    <w:tmpl w:val="6EF67136"/>
    <w:lvl w:ilvl="0" w:tentative="0">
      <w:start w:val="2"/>
      <w:numFmt w:val="decimal"/>
      <w:suff w:val="nothing"/>
      <w:lvlText w:val="（%1）"/>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iNGY5ZmNmNzNmYzNkOWFhODkzM2M4M2UyYzg5ZTcifQ=="/>
    <w:docVar w:name="KSO_WPS_MARK_KEY" w:val="7a4dc3a6-eb1b-4d49-9a3b-671a43531715"/>
  </w:docVars>
  <w:rsids>
    <w:rsidRoot w:val="00000000"/>
    <w:rsid w:val="0041645F"/>
    <w:rsid w:val="005F6F75"/>
    <w:rsid w:val="007C0F2D"/>
    <w:rsid w:val="011B0745"/>
    <w:rsid w:val="027A7941"/>
    <w:rsid w:val="059D500D"/>
    <w:rsid w:val="07F67CA2"/>
    <w:rsid w:val="09026019"/>
    <w:rsid w:val="0B7849E6"/>
    <w:rsid w:val="15015A4D"/>
    <w:rsid w:val="19BD6A4F"/>
    <w:rsid w:val="1E6E3802"/>
    <w:rsid w:val="20F569D8"/>
    <w:rsid w:val="24535E21"/>
    <w:rsid w:val="24E707BB"/>
    <w:rsid w:val="26400293"/>
    <w:rsid w:val="317A1F9A"/>
    <w:rsid w:val="32AB3C08"/>
    <w:rsid w:val="34646DD6"/>
    <w:rsid w:val="348D3957"/>
    <w:rsid w:val="3F312907"/>
    <w:rsid w:val="417B221C"/>
    <w:rsid w:val="425872F2"/>
    <w:rsid w:val="4331449E"/>
    <w:rsid w:val="43D815D8"/>
    <w:rsid w:val="47413DDE"/>
    <w:rsid w:val="488531CC"/>
    <w:rsid w:val="4C3743FC"/>
    <w:rsid w:val="4ECE7017"/>
    <w:rsid w:val="50F40317"/>
    <w:rsid w:val="54040192"/>
    <w:rsid w:val="59E7269E"/>
    <w:rsid w:val="5A20384C"/>
    <w:rsid w:val="5D177188"/>
    <w:rsid w:val="5DF406CB"/>
    <w:rsid w:val="5EEC1F4F"/>
    <w:rsid w:val="66863EAB"/>
    <w:rsid w:val="67E4410B"/>
    <w:rsid w:val="683826C9"/>
    <w:rsid w:val="68C866B1"/>
    <w:rsid w:val="6B0A3AD2"/>
    <w:rsid w:val="6C2E0FC4"/>
    <w:rsid w:val="6E0B4D42"/>
    <w:rsid w:val="6F372669"/>
    <w:rsid w:val="6F661FC8"/>
    <w:rsid w:val="721101F2"/>
    <w:rsid w:val="78546AA4"/>
    <w:rsid w:val="79A906E4"/>
    <w:rsid w:val="7AD1125A"/>
    <w:rsid w:val="7C250C86"/>
    <w:rsid w:val="7C3D2FF6"/>
    <w:rsid w:val="7E6B7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Date"/>
    <w:basedOn w:val="1"/>
    <w:next w:val="1"/>
    <w:qFormat/>
    <w:uiPriority w:val="0"/>
    <w:pPr>
      <w:ind w:left="100" w:leftChars="2500"/>
    </w:pPr>
    <w:rPr>
      <w:rFonts w:ascii="宋体" w:hAnsi="宋体"/>
      <w:sz w:val="32"/>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9975</Words>
  <Characters>10164</Characters>
  <Lines>0</Lines>
  <Paragraphs>0</Paragraphs>
  <TotalTime>4</TotalTime>
  <ScaleCrop>false</ScaleCrop>
  <LinksUpToDate>false</LinksUpToDate>
  <CharactersWithSpaces>10212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2022-01-07T13:48:00Z</dcterms:created>
  <dc:creator>林燕群</dc:creator>
  <cp:lastModifiedBy>眼睛 侠</cp:lastModifiedBy>
  <dcterms:modified xsi:type="dcterms:W3CDTF">2024-07-03T01:41:26Z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399B86EBFFFC431BA252128D4F58D1BA</vt:lpwstr>
  </property>
</Properties>
</file>