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王海霞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2023-2024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1"/>
                <w:szCs w:val="21"/>
              </w:rPr>
              <w:t>学习（读书）心得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读书节上的读书分享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我们这样读&lt;论语&gt;》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《如何帮助低年级孩子有效学数学》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</w:t>
            </w: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学期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参与区级课题《依托本土红色资源构建德育体系的研究》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讲座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写成功日记 遇见美好的自己》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所带班级被评为校“优秀中队”，所指导讲解团被评为校“优秀讲解团”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100％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NGY5ZmNmNzNmYzNkOWFhODkzM2M4M2UyYzg5ZTcifQ=="/>
    <w:docVar w:name="KSO_WPS_MARK_KEY" w:val="fb81be0b-1fb2-4a9a-92e4-c31b2f80a75a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F6A2B9C"/>
    <w:rsid w:val="18F645D5"/>
    <w:rsid w:val="1B43291B"/>
    <w:rsid w:val="20AF0900"/>
    <w:rsid w:val="20F964DB"/>
    <w:rsid w:val="273A75CC"/>
    <w:rsid w:val="28EF36B9"/>
    <w:rsid w:val="44D10A84"/>
    <w:rsid w:val="538347F4"/>
    <w:rsid w:val="5535478C"/>
    <w:rsid w:val="566615B7"/>
    <w:rsid w:val="5BD426A8"/>
    <w:rsid w:val="5CB161AE"/>
    <w:rsid w:val="699056F1"/>
    <w:rsid w:val="6C8258A1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1847</Words>
  <Characters>1922</Characters>
  <Lines>11</Lines>
  <Paragraphs>3</Paragraphs>
  <TotalTime>10</TotalTime>
  <ScaleCrop>false</ScaleCrop>
  <LinksUpToDate>false</LinksUpToDate>
  <CharactersWithSpaces>1941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眼睛 侠</cp:lastModifiedBy>
  <cp:lastPrinted>2020-03-19T07:02:00Z</cp:lastPrinted>
  <dcterms:modified xsi:type="dcterms:W3CDTF">2024-07-01T04:59:45Z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18C1E9C7A28D42CE9B899BC9DFBD558E_13</vt:lpwstr>
  </property>
</Properties>
</file>