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宋体"/>
          <w:color w:val="313131"/>
          <w:kern w:val="0"/>
          <w:szCs w:val="21"/>
        </w:rPr>
      </w:pPr>
      <w:r>
        <w:rPr>
          <w:rFonts w:hint="eastAsia" w:ascii="宋体" w:hAnsi="宋体" w:eastAsia="宋体" w:cs="宋体"/>
          <w:b/>
          <w:bCs/>
          <w:color w:val="313131"/>
          <w:kern w:val="0"/>
          <w:sz w:val="32"/>
          <w:szCs w:val="32"/>
        </w:rPr>
        <w:t>倪敏培育室工作总结</w:t>
      </w: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color w:val="313131"/>
          <w:kern w:val="0"/>
          <w:sz w:val="24"/>
          <w:szCs w:val="24"/>
        </w:rPr>
        <w:t>在各级领导的关心下，在各类专家的支持下，在小伙伴的共同努力下，我们共同度过了一年的时光。一年间，我们翻阅不同的书籍，拓宽自身的视域；我们走进不同的学校，体验不同的场域；我们开展主题化研究，打开自我的思域。回顾一年来的工作与研究，我们思维碰撞探讨研究困惑，我们结伴同行收获成长喜悦，现从以下几点总结一个学年的工作：</w:t>
      </w: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color w:val="313131"/>
          <w:kern w:val="0"/>
          <w:sz w:val="24"/>
          <w:szCs w:val="24"/>
        </w:rPr>
        <w:t>一、拓宽数学实践视域</w:t>
      </w: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color w:val="313131"/>
          <w:kern w:val="0"/>
          <w:sz w:val="24"/>
          <w:szCs w:val="24"/>
        </w:rPr>
        <w:t>义务教育课程方案和各学科课程标准（2022年版）强化核心素养导向，突出“实践意识”，确立实践在各门课程培养学生核心素养过程中的核心地位，要求以学科实践为支点，撬动传统育人方式转型，构建以实践为中心的新型育人方式，赋予学科实践新的价值功能。</w:t>
      </w: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color w:val="313131"/>
          <w:kern w:val="0"/>
          <w:sz w:val="24"/>
          <w:szCs w:val="24"/>
        </w:rPr>
        <w:t>培育室成员将数学实践作为研究的着力点，那么，目前，小学数学学科实践在学科育人方面存在什么样的价值意义，又存在着哪些实际问题？数学</w:t>
      </w:r>
      <w:bookmarkStart w:id="0" w:name="_GoBack"/>
      <w:bookmarkEnd w:id="0"/>
      <w:r>
        <w:rPr>
          <w:rFonts w:hint="eastAsia" w:ascii="宋体" w:hAnsi="宋体" w:eastAsia="宋体" w:cs="宋体"/>
          <w:color w:val="313131"/>
          <w:kern w:val="0"/>
          <w:sz w:val="24"/>
          <w:szCs w:val="24"/>
        </w:rPr>
        <w:t>学科实践有哪些具体路径，我们可以开展哪些数学学科实践？数学学科实践如何与课堂链接，如何促进学生素养提升？这都需要培育室成员开展多元学习，融会贯通之后清晰思路。</w:t>
      </w: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color w:val="313131"/>
          <w:kern w:val="0"/>
          <w:sz w:val="24"/>
          <w:szCs w:val="24"/>
        </w:rPr>
        <w:t>1</w:t>
      </w:r>
      <w:r>
        <w:rPr>
          <w:rFonts w:ascii="宋体" w:hAnsi="宋体" w:eastAsia="宋体" w:cs="宋体"/>
          <w:color w:val="313131"/>
          <w:kern w:val="0"/>
          <w:sz w:val="24"/>
          <w:szCs w:val="24"/>
        </w:rPr>
        <w:t>.</w:t>
      </w:r>
      <w:r>
        <w:rPr>
          <w:rFonts w:hint="eastAsia" w:ascii="宋体" w:hAnsi="宋体" w:eastAsia="宋体" w:cs="宋体"/>
          <w:color w:val="313131"/>
          <w:kern w:val="0"/>
          <w:sz w:val="24"/>
          <w:szCs w:val="24"/>
        </w:rPr>
        <w:t>阅读相关书籍，从专著中寻找灵感。学习是每位教师应该保持的状态，不在乎学习什么内容，在乎的是一直保持学习的状态。共学书目《趣玩数学》是小学生数学文化读本，是我们自己实践经验的凝聚，通过本书开启追寻“儿童数学”的旅程，在文中感受数学文化的儿童化表达，以儿童的视角感受数学之趣、了解数学之史、学会数学之用、品尝数学之美，体会“实践活动”的丰富形式，从而找到关于数学实践的些许灵感。自读书目涵盖内容较广，……，当然，老师们仍能数学实践的角度进行关联，……。</w:t>
      </w:r>
    </w:p>
    <w:p>
      <w:pPr>
        <w:widowControl/>
        <w:shd w:val="clear" w:color="auto" w:fill="FFFFFF"/>
        <w:spacing w:line="312" w:lineRule="auto"/>
        <w:ind w:firstLine="480"/>
        <w:jc w:val="left"/>
        <w:rPr>
          <w:rFonts w:ascii="宋体" w:hAnsi="宋体" w:eastAsia="宋体" w:cs="宋体"/>
          <w:color w:val="313131"/>
          <w:kern w:val="0"/>
          <w:sz w:val="24"/>
          <w:szCs w:val="24"/>
        </w:rPr>
      </w:pPr>
      <w:r>
        <w:rPr>
          <w:rFonts w:ascii="宋体" w:hAnsi="宋体" w:eastAsia="宋体" w:cs="宋体"/>
          <w:color w:val="313131"/>
          <w:kern w:val="0"/>
          <w:sz w:val="24"/>
          <w:szCs w:val="24"/>
        </w:rPr>
        <w:t>2.</w:t>
      </w:r>
      <w:r>
        <w:rPr>
          <w:rFonts w:hint="eastAsia" w:ascii="宋体" w:hAnsi="宋体" w:eastAsia="宋体" w:cs="宋体"/>
          <w:color w:val="313131"/>
          <w:kern w:val="0"/>
          <w:sz w:val="24"/>
          <w:szCs w:val="24"/>
        </w:rPr>
        <w:t>订阅相关杂志，从文章中汲取经验。每人订阅一份小学数学教育教学杂志，及时关注小学数学教育教学相关的优秀公众号，每人推荐一篇关于学科实践的文章。陈宗荣刊载于《福建教育》的《新课程背景下，在教学中如何进行学科实践？》介绍了学科实践的价值意蕴和有效路径；特级教师袁晓萍刊于《教育家》的《具身学习，打造数学学科实践的峰值体验》分享了她通过设计具身交互的体验活动，放大学生在操作过程中的感官体验，调动学生的视、听、触等系统，让学生以自然的身心状态高质量地参与到学习探究中，使数学学科实践成为看得见、摸得着的生长和创造；杨静刊登于《教学与管理》（小学版）的《学科实践的学理、特征与实践路径》介绍了学科实践的学理探寻、特征阐释、实践路径；崔允漷教授刊于《人民教育》的《学科实践：学科育人方式变革的新方向》指出自主、合作、探究：我国中小学课堂转型的重要引领，“虚”“假”探究普遍存在：学习方式变革面临新的挑战，学科实践：超越学科的知识授受，迭代通用的探究学习；……</w:t>
      </w: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color w:val="313131"/>
          <w:kern w:val="0"/>
          <w:sz w:val="24"/>
          <w:szCs w:val="24"/>
        </w:rPr>
        <w:t>3</w:t>
      </w:r>
      <w:r>
        <w:rPr>
          <w:rFonts w:ascii="宋体" w:hAnsi="宋体" w:eastAsia="宋体" w:cs="宋体"/>
          <w:color w:val="313131"/>
          <w:kern w:val="0"/>
          <w:sz w:val="24"/>
          <w:szCs w:val="24"/>
        </w:rPr>
        <w:t>.</w:t>
      </w:r>
      <w:r>
        <w:rPr>
          <w:rFonts w:hint="eastAsia" w:ascii="宋体" w:hAnsi="宋体" w:eastAsia="宋体" w:cs="宋体"/>
          <w:color w:val="313131"/>
          <w:kern w:val="0"/>
          <w:sz w:val="24"/>
          <w:szCs w:val="24"/>
        </w:rPr>
        <w:t>聆听专业指导，从讲座中明确方向。培育室成员的成长离不开专家的高水平引领，主题报告、专题讲座能提增理论水平，明确发展方向。为此，培育室寻找各种资源，集中开展线上学习，集中参与线下活动，……对照专业指导，反观日常教学，我们逐渐明确方向。数学学科实践应该融入课堂，弥漫活动，化入作业。</w:t>
      </w: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color w:val="313131"/>
          <w:kern w:val="0"/>
          <w:sz w:val="24"/>
          <w:szCs w:val="24"/>
        </w:rPr>
        <w:t>（1）课堂尝试，探寻实践路径</w:t>
      </w: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color w:val="313131"/>
          <w:kern w:val="0"/>
          <w:sz w:val="24"/>
          <w:szCs w:val="24"/>
        </w:rPr>
        <w:t>日常课的情境融入。结合学科实践与体验，在日常课中进行情境的融入。借助数学学科实践，让数学情境更贴近学生生活，让数学学习更可感，充分激发了学生的学习兴趣，帮助学生形成了数学想象力，提高了学生的抽象能力。</w:t>
      </w: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color w:val="313131"/>
          <w:kern w:val="0"/>
          <w:sz w:val="24"/>
          <w:szCs w:val="24"/>
        </w:rPr>
        <w:t>活动课的习题渗透。数学实践很多内容的灵感来源于数学综合与实践活动，所以在教学数学综合与实践活动课的教学时，及时进行习题的渗透，带领学生数学课集中在实践场域进行，允许孩子利用课下时间，在实践场域完成习题。</w:t>
      </w: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color w:val="313131"/>
          <w:kern w:val="0"/>
          <w:sz w:val="24"/>
          <w:szCs w:val="24"/>
        </w:rPr>
        <w:t>跨学科课的板块分布。数学学科实践的设计是开放的，活动也是开放的，所以可以开展的课堂体验也是开放的，实践内容进行跨学科教学，在跨学科教学中进行合理的板块分布。</w:t>
      </w: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color w:val="313131"/>
          <w:kern w:val="0"/>
          <w:sz w:val="24"/>
          <w:szCs w:val="24"/>
        </w:rPr>
        <w:t>（2）活动设计，丰富学科体验</w:t>
      </w: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color w:val="313131"/>
          <w:kern w:val="0"/>
          <w:sz w:val="24"/>
          <w:szCs w:val="24"/>
        </w:rPr>
        <w:t>数学游戏增进积极体验。将两位数除以一位数的除法练习融入游戏，能充分激发学生数学学习的积极性。对游戏规则进行数学化处理，能帮助学生在游戏中进一步理解除法的意义。剩余的学生或自主完成、或请求助力，用除法算式获得归位资格，基于实际挑战自我，并获得对数学的积极情感。除了这类趣味游戏之外，还开展数棋、算24点、“吃”算盘等一些传统数学游戏，开展折四数、拆数字等师生创编的数学小游戏。</w:t>
      </w: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color w:val="313131"/>
          <w:kern w:val="0"/>
          <w:sz w:val="24"/>
          <w:szCs w:val="24"/>
        </w:rPr>
        <w:t>数学比赛促进正向竞争。学生在挑战中明确数学道理，掌握数学方法，并在日积月累的多样评价机制促进下，形成一种数学学习自觉，形成正向竞争氛围。</w:t>
      </w: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color w:val="313131"/>
          <w:kern w:val="0"/>
          <w:sz w:val="24"/>
          <w:szCs w:val="24"/>
        </w:rPr>
        <w:t>（</w:t>
      </w:r>
      <w:r>
        <w:rPr>
          <w:rFonts w:ascii="宋体" w:hAnsi="宋体" w:eastAsia="宋体" w:cs="宋体"/>
          <w:color w:val="313131"/>
          <w:kern w:val="0"/>
          <w:sz w:val="24"/>
          <w:szCs w:val="24"/>
        </w:rPr>
        <w:t>3</w:t>
      </w:r>
      <w:r>
        <w:rPr>
          <w:rFonts w:hint="eastAsia" w:ascii="宋体" w:hAnsi="宋体" w:eastAsia="宋体" w:cs="宋体"/>
          <w:color w:val="313131"/>
          <w:kern w:val="0"/>
          <w:sz w:val="24"/>
          <w:szCs w:val="24"/>
        </w:rPr>
        <w:t>）个性作业，唤醒应用自觉</w:t>
      </w: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color w:val="313131"/>
          <w:kern w:val="0"/>
          <w:sz w:val="24"/>
          <w:szCs w:val="24"/>
        </w:rPr>
        <w:t>对单元作业进行实践化设计。基于学生实际，结合教材内容，对数学知识进行梳理，对数学习题进行整体设计，并分期制作成展示板块，在数学实践场域进行张贴。每期更新布置的同时会配有使用说明。学生在知识长廊的阅读中提升知识，开拓视野。</w:t>
      </w: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color w:val="313131"/>
          <w:kern w:val="0"/>
          <w:sz w:val="24"/>
          <w:szCs w:val="24"/>
        </w:rPr>
        <w:t>定点收集游戏活动数学小人书。通过序列化的整体思考与实践化的内容设计，将固化的数学知识动态地处理，并将学生的理解与表达呈现在数学学科实践场域，转变为学生的实践性内容，提升学生学习的体验感。个性化的“活动手册”，唤醒学生数学知识的应用自觉。</w:t>
      </w:r>
    </w:p>
    <w:p>
      <w:pPr>
        <w:autoSpaceDE w:val="0"/>
        <w:adjustRightInd w:val="0"/>
        <w:snapToGrid w:val="0"/>
        <w:spacing w:line="312" w:lineRule="auto"/>
        <w:ind w:firstLine="482" w:firstLineChars="200"/>
        <w:outlineLvl w:val="0"/>
        <w:rPr>
          <w:rFonts w:ascii="宋体" w:hAnsi="宋体" w:eastAsia="宋体" w:cs="宋体"/>
          <w:b/>
          <w:bCs/>
          <w:color w:val="313131"/>
          <w:kern w:val="0"/>
          <w:sz w:val="24"/>
          <w:szCs w:val="24"/>
        </w:rPr>
      </w:pPr>
      <w:r>
        <w:rPr>
          <w:rFonts w:hint="eastAsia" w:ascii="宋体" w:hAnsi="宋体" w:eastAsia="宋体" w:cs="宋体"/>
          <w:b/>
          <w:bCs/>
          <w:color w:val="313131"/>
          <w:kern w:val="0"/>
          <w:sz w:val="24"/>
          <w:szCs w:val="24"/>
        </w:rPr>
        <w:t>二、营造多元互动场域</w:t>
      </w:r>
    </w:p>
    <w:p>
      <w:pPr>
        <w:widowControl/>
        <w:shd w:val="clear" w:color="auto" w:fill="FFFFFF"/>
        <w:spacing w:line="312"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要想让数学学科实践具有生命力，发挥其育人价值，广泛应用于数学课程，需要物型空间的保障，需要教师对数学学习资源的敏锐捕捉、对数学实践区域的精心设计。</w:t>
      </w:r>
    </w:p>
    <w:p>
      <w:pPr>
        <w:widowControl/>
        <w:shd w:val="clear" w:color="auto" w:fill="FFFFFF"/>
        <w:spacing w:line="312"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1.基于实际，挖掘场域育人价值</w:t>
      </w:r>
    </w:p>
    <w:p>
      <w:pPr>
        <w:widowControl/>
        <w:shd w:val="clear" w:color="auto" w:fill="FFFFFF"/>
        <w:spacing w:line="312"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通过个别访谈、教材解读等研究方法，对本校师生教与学的现状进行了解。</w:t>
      </w:r>
    </w:p>
    <w:p>
      <w:pPr>
        <w:widowControl/>
        <w:shd w:val="clear" w:color="auto" w:fill="FFFFFF"/>
        <w:spacing w:line="312"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（1）学生个别访谈了解现状</w:t>
      </w:r>
    </w:p>
    <w:p>
      <w:pPr>
        <w:widowControl/>
        <w:shd w:val="clear" w:color="auto" w:fill="FFFFFF"/>
        <w:spacing w:line="312"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我们通过个别访谈对学生每周两次的午间课程、每周两次的课后服务、每学期一次的文化节之数学活动进行整体了解看活动形式、内容学生是否喜爱，有哪些地方需要进行改进。从趣味性、时代感、实践性等方面对研究内容进行了重新调整。</w:t>
      </w:r>
    </w:p>
    <w:p>
      <w:pPr>
        <w:widowControl/>
        <w:shd w:val="clear" w:color="auto" w:fill="FFFFFF"/>
        <w:spacing w:line="312"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（2）教材分类解读寻找方向</w:t>
      </w:r>
    </w:p>
    <w:p>
      <w:pPr>
        <w:widowControl/>
        <w:shd w:val="clear" w:color="auto" w:fill="FFFFFF"/>
        <w:spacing w:line="312"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我们分类对教材进行解读，梳理匹配教材的数学拓展、数学活动内容，分析可以渗透课堂的实践内容，在实践场域开展的活动。将拓展史料作为数学文化材料进行展示，设计“动手做”之后的成果展示区域，开辟“乐高墙”、跳格子、吃算盘、二十四点等游戏区域，让学生结合本年级的实际进行游戏活动。通过特定的场所精神，发挥育人为先的功能，实现“创造适合每一位孩子发展的教育”的育人理念。</w:t>
      </w:r>
    </w:p>
    <w:p>
      <w:pPr>
        <w:widowControl/>
        <w:shd w:val="clear" w:color="auto" w:fill="FFFFFF"/>
        <w:spacing w:line="312"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2.明确分类，探寻活动展开路径</w:t>
      </w:r>
    </w:p>
    <w:p>
      <w:pPr>
        <w:widowControl/>
        <w:shd w:val="clear" w:color="auto" w:fill="FFFFFF"/>
        <w:spacing w:line="312"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数学实践场域可以基于班级、学校等区域空间已有的布局、设计，进行细节处理；也可以对部分场域进行定向安排与布置。最终形成知识补给、实践体验、游戏项目、作品展示等不同区域，让整个班级、整个校园弥漫数学味，让数学实践活动随处可见，让数学学习变得趣味盎然，让学生在数学区域发现自身价值，激发学习内驱力。</w:t>
      </w:r>
    </w:p>
    <w:p>
      <w:pPr>
        <w:widowControl/>
        <w:shd w:val="clear" w:color="auto" w:fill="FFFFFF"/>
        <w:spacing w:line="312"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4914900" cy="2105025"/>
            <wp:effectExtent l="0" t="0" r="0" b="9525"/>
            <wp:wrapSquare wrapText="bothSides"/>
            <wp:docPr id="3" name="图片 3" descr="C:\Users\surface\AppData\Local\Temp\ksohtml68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surface\AppData\Local\Temp\ksohtml684\wp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14900" cy="2105025"/>
                    </a:xfrm>
                    <a:prstGeom prst="rect">
                      <a:avLst/>
                    </a:prstGeom>
                    <a:noFill/>
                    <a:ln>
                      <a:noFill/>
                    </a:ln>
                  </pic:spPr>
                </pic:pic>
              </a:graphicData>
            </a:graphic>
          </wp:anchor>
        </w:drawing>
      </w:r>
      <w:r>
        <w:rPr>
          <w:rFonts w:hint="eastAsia" w:ascii="宋体" w:hAnsi="宋体" w:eastAsia="宋体" w:cs="宋体"/>
          <w:kern w:val="0"/>
          <w:sz w:val="24"/>
          <w:szCs w:val="24"/>
        </w:rPr>
        <w:t xml:space="preserve"> </w:t>
      </w:r>
    </w:p>
    <w:p>
      <w:pPr>
        <w:widowControl/>
        <w:shd w:val="clear" w:color="auto" w:fill="FFFFFF"/>
        <w:spacing w:line="312"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pPr>
        <w:widowControl/>
        <w:shd w:val="clear" w:color="auto" w:fill="FFFFFF"/>
        <w:spacing w:line="312" w:lineRule="auto"/>
        <w:ind w:firstLine="480"/>
        <w:jc w:val="left"/>
        <w:rPr>
          <w:rFonts w:ascii="宋体" w:hAnsi="宋体" w:eastAsia="宋体" w:cs="宋体"/>
          <w:kern w:val="0"/>
          <w:sz w:val="24"/>
          <w:szCs w:val="24"/>
        </w:rPr>
      </w:pPr>
    </w:p>
    <w:p>
      <w:pPr>
        <w:widowControl/>
        <w:shd w:val="clear" w:color="auto" w:fill="FFFFFF"/>
        <w:spacing w:line="312" w:lineRule="auto"/>
        <w:ind w:firstLine="480"/>
        <w:jc w:val="left"/>
        <w:rPr>
          <w:rFonts w:ascii="宋体" w:hAnsi="宋体" w:eastAsia="宋体" w:cs="宋体"/>
          <w:kern w:val="0"/>
          <w:sz w:val="24"/>
          <w:szCs w:val="24"/>
        </w:rPr>
      </w:pPr>
    </w:p>
    <w:p>
      <w:pPr>
        <w:widowControl/>
        <w:shd w:val="clear" w:color="auto" w:fill="FFFFFF"/>
        <w:spacing w:line="312" w:lineRule="auto"/>
        <w:ind w:firstLine="480"/>
        <w:jc w:val="left"/>
        <w:rPr>
          <w:rFonts w:ascii="宋体" w:hAnsi="宋体" w:eastAsia="宋体" w:cs="宋体"/>
          <w:kern w:val="0"/>
          <w:sz w:val="24"/>
          <w:szCs w:val="24"/>
        </w:rPr>
      </w:pPr>
    </w:p>
    <w:p>
      <w:pPr>
        <w:widowControl/>
        <w:shd w:val="clear" w:color="auto" w:fill="FFFFFF"/>
        <w:spacing w:line="312" w:lineRule="auto"/>
        <w:ind w:firstLine="480"/>
        <w:jc w:val="left"/>
        <w:rPr>
          <w:rFonts w:ascii="宋体" w:hAnsi="宋体" w:eastAsia="宋体" w:cs="宋体"/>
          <w:kern w:val="0"/>
          <w:sz w:val="24"/>
          <w:szCs w:val="24"/>
        </w:rPr>
      </w:pPr>
    </w:p>
    <w:p>
      <w:pPr>
        <w:widowControl/>
        <w:shd w:val="clear" w:color="auto" w:fill="FFFFFF"/>
        <w:spacing w:line="312" w:lineRule="auto"/>
        <w:ind w:firstLine="480"/>
        <w:jc w:val="left"/>
        <w:rPr>
          <w:rFonts w:ascii="宋体" w:hAnsi="宋体" w:eastAsia="宋体" w:cs="宋体"/>
          <w:kern w:val="0"/>
          <w:sz w:val="24"/>
          <w:szCs w:val="24"/>
        </w:rPr>
      </w:pPr>
    </w:p>
    <w:p>
      <w:pPr>
        <w:widowControl/>
        <w:shd w:val="clear" w:color="auto" w:fill="FFFFFF"/>
        <w:spacing w:line="312" w:lineRule="auto"/>
        <w:ind w:firstLine="480"/>
        <w:jc w:val="left"/>
        <w:rPr>
          <w:rFonts w:ascii="宋体" w:hAnsi="宋体" w:eastAsia="宋体" w:cs="宋体"/>
          <w:kern w:val="0"/>
          <w:sz w:val="24"/>
          <w:szCs w:val="24"/>
        </w:rPr>
      </w:pPr>
    </w:p>
    <w:p>
      <w:pPr>
        <w:widowControl/>
        <w:shd w:val="clear" w:color="auto" w:fill="FFFFFF"/>
        <w:spacing w:line="312" w:lineRule="auto"/>
        <w:ind w:firstLine="480"/>
        <w:jc w:val="left"/>
        <w:rPr>
          <w:rFonts w:ascii="宋体" w:hAnsi="宋体" w:eastAsia="宋体" w:cs="宋体"/>
          <w:kern w:val="0"/>
          <w:sz w:val="24"/>
          <w:szCs w:val="24"/>
        </w:rPr>
      </w:pPr>
    </w:p>
    <w:p>
      <w:pPr>
        <w:widowControl/>
        <w:shd w:val="clear" w:color="auto" w:fill="FFFFFF"/>
        <w:spacing w:line="312"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图1数学学科实践区域</w:t>
      </w:r>
    </w:p>
    <w:p>
      <w:pPr>
        <w:widowControl/>
        <w:shd w:val="clear" w:color="auto" w:fill="FFFFFF"/>
        <w:spacing w:line="312"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通过课堂研讨与实践探索，促使数学学科实践区域的投入使用，应用于数学学习生活、数学日常课堂的实践之中。</w:t>
      </w:r>
    </w:p>
    <w:p>
      <w:pPr>
        <w:widowControl/>
        <w:shd w:val="clear" w:color="auto" w:fill="FFFFFF"/>
        <w:spacing w:line="312"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3.立足儿童，设计数学体验内容</w:t>
      </w:r>
    </w:p>
    <w:p>
      <w:pPr>
        <w:widowControl/>
        <w:shd w:val="clear" w:color="auto" w:fill="FFFFFF"/>
        <w:spacing w:line="312"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结合不同的场域，可以从阅读、操作、游戏、分享等不同角度，设计不同的数学体验内容，从而使学生获取知识、开展实践、丰富思维，并在体验、分享中培养对数学的积极情感，提升实践创新能力。</w:t>
      </w:r>
    </w:p>
    <w:p>
      <w:pPr>
        <w:widowControl/>
        <w:shd w:val="clear" w:color="auto" w:fill="FFFFFF"/>
        <w:spacing w:line="312"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探寻实践区域的真实应用，集中区域应用于课后服务、数学文化节时间，分批次排表参加到体验区域开展数学实践活动。分散区域应用于课间活动、玩转午间、课后服务实践，在各班开展数学阅读等学习活动，开展学习作品展示活动，开展小型体验活动，并在应用过程中汇聚应用案例。</w:t>
      </w:r>
    </w:p>
    <w:p>
      <w:pPr>
        <w:widowControl/>
        <w:shd w:val="clear" w:color="auto" w:fill="FFFFFF"/>
        <w:spacing w:line="312" w:lineRule="auto"/>
        <w:ind w:firstLine="480"/>
        <w:jc w:val="left"/>
        <w:rPr>
          <w:rFonts w:ascii="宋体" w:hAnsi="宋体" w:eastAsia="宋体" w:cs="宋体"/>
          <w:b/>
          <w:bCs/>
          <w:color w:val="313131"/>
          <w:kern w:val="0"/>
          <w:sz w:val="24"/>
          <w:szCs w:val="24"/>
        </w:rPr>
      </w:pPr>
      <w:r>
        <w:rPr>
          <w:rFonts w:hint="eastAsia" w:ascii="宋体" w:hAnsi="宋体" w:eastAsia="宋体" w:cs="宋体"/>
          <w:b/>
          <w:bCs/>
          <w:color w:val="313131"/>
          <w:kern w:val="0"/>
          <w:sz w:val="24"/>
          <w:szCs w:val="24"/>
        </w:rPr>
        <w:t>三、打开课堂教学思域</w:t>
      </w:r>
    </w:p>
    <w:p>
      <w:pPr>
        <w:widowControl/>
        <w:shd w:val="clear" w:color="auto" w:fill="FFFFFF"/>
        <w:spacing w:line="312" w:lineRule="auto"/>
        <w:ind w:firstLine="480"/>
        <w:jc w:val="left"/>
        <w:rPr>
          <w:rFonts w:ascii="宋体" w:hAnsi="宋体" w:eastAsia="宋体" w:cs="宋体"/>
          <w:bCs/>
          <w:color w:val="313131"/>
          <w:kern w:val="0"/>
          <w:sz w:val="24"/>
          <w:szCs w:val="24"/>
        </w:rPr>
      </w:pPr>
      <w:r>
        <w:rPr>
          <w:rFonts w:hint="eastAsia" w:ascii="宋体" w:hAnsi="宋体" w:eastAsia="宋体" w:cs="宋体"/>
          <w:bCs/>
          <w:color w:val="313131"/>
          <w:kern w:val="0"/>
          <w:sz w:val="24"/>
          <w:szCs w:val="24"/>
        </w:rPr>
        <w:t>课堂是教师的主阵地，在课堂情境创设中，设计实践性活动，如《认识角》的导入从摸有角物品进入；在课堂教学中，更多地通过实践活动完善学生思维；在课堂作业中，让学生人人经历实践过程，体会实践的价值；在课后拓展中，以小人书为点，拓展学生的融合、表达能力。</w:t>
      </w:r>
    </w:p>
    <w:p>
      <w:pPr>
        <w:widowControl/>
        <w:shd w:val="clear" w:color="auto" w:fill="FFFFFF"/>
        <w:spacing w:line="312" w:lineRule="auto"/>
        <w:ind w:firstLine="480"/>
        <w:jc w:val="left"/>
        <w:rPr>
          <w:rFonts w:ascii="宋体" w:hAnsi="宋体" w:eastAsia="宋体" w:cs="宋体"/>
          <w:b/>
          <w:bCs/>
          <w:color w:val="313131"/>
          <w:kern w:val="0"/>
          <w:sz w:val="24"/>
          <w:szCs w:val="24"/>
        </w:rPr>
      </w:pPr>
      <w:r>
        <w:rPr>
          <w:rFonts w:hint="eastAsia" w:ascii="宋体" w:hAnsi="宋体" w:eastAsia="宋体" w:cs="宋体"/>
          <w:b/>
          <w:bCs/>
          <w:color w:val="313131"/>
          <w:kern w:val="0"/>
          <w:sz w:val="24"/>
          <w:szCs w:val="24"/>
        </w:rPr>
        <w:t>四、探索教师发展领域</w:t>
      </w: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b/>
          <w:bCs/>
          <w:color w:val="313131"/>
          <w:kern w:val="0"/>
          <w:sz w:val="24"/>
          <w:szCs w:val="24"/>
        </w:rPr>
        <w:t>以“数学学科实践”为载体，促教师全方位不断发展。</w:t>
      </w:r>
    </w:p>
    <w:p>
      <w:pPr>
        <w:widowControl/>
        <w:shd w:val="clear" w:color="auto" w:fill="FFFFFF"/>
        <w:spacing w:line="312"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1.不断更新教育理念。积极参加培训,听课,评课,并及时做好听课笔记。新的教育形式不允许我们在课堂上重复讲书,我们必须具有先进的教育观念,才能适应教育的发展所以工作室的活动不但注重集体的数学理论学习,还注意从书本中汲取营养,认真学习仔细体会新形势下怎样做一名好教师。为此,培育室要求全体成员每人确定一份自读专著，共同阅读《趣玩数学》，以此从学生的内心感知学习数学的困难，更好地为学生服务。</w:t>
      </w:r>
    </w:p>
    <w:p>
      <w:pPr>
        <w:widowControl/>
        <w:shd w:val="clear" w:color="auto" w:fill="FFFFFF"/>
        <w:spacing w:line="312"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2.努力提高教学质量,上好课。在日常的教学中,我们认真钻研教材,弄清楚教材的基本概念,了解教材的结构,重点与难点,掌握知识的逻辑。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课堂提问面向全体学生,注意引发学生学数学的兴趣。</w:t>
      </w:r>
    </w:p>
    <w:p>
      <w:pPr>
        <w:widowControl/>
        <w:shd w:val="clear" w:color="auto" w:fill="FFFFFF"/>
        <w:spacing w:line="312"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先后执教市区公开课</w:t>
      </w:r>
      <w:r>
        <w:rPr>
          <w:rFonts w:ascii="宋体" w:hAnsi="宋体" w:eastAsia="宋体" w:cs="宋体"/>
          <w:kern w:val="0"/>
          <w:sz w:val="24"/>
          <w:szCs w:val="24"/>
        </w:rPr>
        <w:t>20</w:t>
      </w:r>
      <w:r>
        <w:rPr>
          <w:rFonts w:hint="eastAsia" w:ascii="宋体" w:hAnsi="宋体" w:eastAsia="宋体" w:cs="宋体"/>
          <w:kern w:val="0"/>
          <w:sz w:val="24"/>
          <w:szCs w:val="24"/>
        </w:rPr>
        <w:t>多节。</w:t>
      </w:r>
    </w:p>
    <w:p>
      <w:pPr>
        <w:spacing w:line="360" w:lineRule="auto"/>
        <w:ind w:firstLine="562" w:firstLineChars="200"/>
        <w:jc w:val="center"/>
        <w:rPr>
          <w:rFonts w:ascii="宋体" w:hAnsi="宋体" w:eastAsia="宋体"/>
          <w:b/>
          <w:bCs/>
          <w:sz w:val="28"/>
          <w:szCs w:val="28"/>
        </w:rPr>
      </w:pPr>
      <w:r>
        <w:rPr>
          <w:rFonts w:hint="eastAsia" w:ascii="宋体" w:hAnsi="宋体" w:eastAsia="宋体"/>
          <w:b/>
          <w:bCs/>
          <w:sz w:val="28"/>
          <w:szCs w:val="28"/>
        </w:rPr>
        <w:t>市级公开课开设汇总表</w:t>
      </w:r>
    </w:p>
    <w:tbl>
      <w:tblPr>
        <w:tblStyle w:val="5"/>
        <w:tblW w:w="9138" w:type="dxa"/>
        <w:tblInd w:w="0" w:type="dxa"/>
        <w:tblLayout w:type="fixed"/>
        <w:tblCellMar>
          <w:top w:w="15" w:type="dxa"/>
          <w:left w:w="15" w:type="dxa"/>
          <w:bottom w:w="15" w:type="dxa"/>
          <w:right w:w="15" w:type="dxa"/>
        </w:tblCellMar>
      </w:tblPr>
      <w:tblGrid>
        <w:gridCol w:w="911"/>
        <w:gridCol w:w="855"/>
        <w:gridCol w:w="2790"/>
        <w:gridCol w:w="1447"/>
        <w:gridCol w:w="2393"/>
        <w:gridCol w:w="742"/>
      </w:tblGrid>
      <w:tr>
        <w:tblPrEx>
          <w:tblCellMar>
            <w:top w:w="15" w:type="dxa"/>
            <w:left w:w="15" w:type="dxa"/>
            <w:bottom w:w="15" w:type="dxa"/>
            <w:right w:w="15" w:type="dxa"/>
          </w:tblCellMar>
        </w:tblPrEx>
        <w:trPr>
          <w:trHeight w:val="646" w:hRule="atLeast"/>
        </w:trPr>
        <w:tc>
          <w:tcPr>
            <w:tcW w:w="911"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序号</w:t>
            </w:r>
          </w:p>
        </w:tc>
        <w:tc>
          <w:tcPr>
            <w:tcW w:w="85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执教者</w:t>
            </w:r>
          </w:p>
        </w:tc>
        <w:tc>
          <w:tcPr>
            <w:tcW w:w="279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ind w:firstLine="420" w:firstLineChars="200"/>
              <w:rPr>
                <w:rFonts w:ascii="宋体" w:hAnsi="宋体" w:eastAsia="宋体"/>
                <w:szCs w:val="21"/>
              </w:rPr>
            </w:pPr>
            <w:r>
              <w:rPr>
                <w:rFonts w:ascii="宋体" w:hAnsi="宋体" w:eastAsia="宋体"/>
                <w:szCs w:val="21"/>
              </w:rPr>
              <w:t>开课课题</w:t>
            </w:r>
          </w:p>
        </w:tc>
        <w:tc>
          <w:tcPr>
            <w:tcW w:w="1447"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开课时间</w:t>
            </w:r>
          </w:p>
        </w:tc>
        <w:tc>
          <w:tcPr>
            <w:tcW w:w="239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组织单位</w:t>
            </w:r>
          </w:p>
        </w:tc>
        <w:tc>
          <w:tcPr>
            <w:tcW w:w="74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级别</w:t>
            </w:r>
          </w:p>
        </w:tc>
      </w:tr>
      <w:tr>
        <w:tblPrEx>
          <w:tblCellMar>
            <w:top w:w="15" w:type="dxa"/>
            <w:left w:w="15" w:type="dxa"/>
            <w:bottom w:w="15" w:type="dxa"/>
            <w:right w:w="15" w:type="dxa"/>
          </w:tblCellMar>
        </w:tblPrEx>
        <w:trPr>
          <w:trHeight w:val="627" w:hRule="atLeast"/>
        </w:trPr>
        <w:tc>
          <w:tcPr>
            <w:tcW w:w="911"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ind w:firstLine="420" w:firstLineChars="200"/>
              <w:rPr>
                <w:rFonts w:ascii="宋体" w:hAnsi="宋体" w:eastAsia="宋体"/>
                <w:szCs w:val="21"/>
              </w:rPr>
            </w:pPr>
            <w:r>
              <w:rPr>
                <w:rFonts w:ascii="宋体" w:hAnsi="宋体" w:eastAsia="宋体"/>
                <w:szCs w:val="21"/>
              </w:rPr>
              <w:t>1</w:t>
            </w:r>
          </w:p>
        </w:tc>
        <w:tc>
          <w:tcPr>
            <w:tcW w:w="85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潘婷婷</w:t>
            </w:r>
          </w:p>
        </w:tc>
        <w:tc>
          <w:tcPr>
            <w:tcW w:w="279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《认识厘米》</w:t>
            </w:r>
          </w:p>
        </w:tc>
        <w:tc>
          <w:tcPr>
            <w:tcW w:w="1447"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2024.1.2</w:t>
            </w:r>
          </w:p>
        </w:tc>
        <w:tc>
          <w:tcPr>
            <w:tcW w:w="239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常州市教育科学研究院</w:t>
            </w:r>
          </w:p>
        </w:tc>
        <w:tc>
          <w:tcPr>
            <w:tcW w:w="74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市级</w:t>
            </w:r>
          </w:p>
        </w:tc>
      </w:tr>
      <w:tr>
        <w:tblPrEx>
          <w:tblCellMar>
            <w:top w:w="15" w:type="dxa"/>
            <w:left w:w="15" w:type="dxa"/>
            <w:bottom w:w="15" w:type="dxa"/>
            <w:right w:w="15" w:type="dxa"/>
          </w:tblCellMar>
        </w:tblPrEx>
        <w:trPr>
          <w:trHeight w:val="630" w:hRule="atLeast"/>
        </w:trPr>
        <w:tc>
          <w:tcPr>
            <w:tcW w:w="911"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ind w:firstLine="420" w:firstLineChars="200"/>
              <w:rPr>
                <w:rFonts w:ascii="宋体" w:hAnsi="宋体" w:eastAsia="宋体"/>
                <w:szCs w:val="21"/>
              </w:rPr>
            </w:pPr>
            <w:r>
              <w:rPr>
                <w:rFonts w:ascii="宋体" w:hAnsi="宋体" w:eastAsia="宋体"/>
                <w:szCs w:val="21"/>
              </w:rPr>
              <w:t>2</w:t>
            </w:r>
          </w:p>
        </w:tc>
        <w:tc>
          <w:tcPr>
            <w:tcW w:w="85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李羚</w:t>
            </w:r>
          </w:p>
        </w:tc>
        <w:tc>
          <w:tcPr>
            <w:tcW w:w="279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《加法交换律和加法结合律》</w:t>
            </w:r>
          </w:p>
        </w:tc>
        <w:tc>
          <w:tcPr>
            <w:tcW w:w="1447"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2024.6.14</w:t>
            </w:r>
          </w:p>
        </w:tc>
        <w:tc>
          <w:tcPr>
            <w:tcW w:w="239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常州市教育科学研究院</w:t>
            </w:r>
          </w:p>
        </w:tc>
        <w:tc>
          <w:tcPr>
            <w:tcW w:w="74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市级</w:t>
            </w:r>
          </w:p>
        </w:tc>
      </w:tr>
    </w:tbl>
    <w:p>
      <w:pPr>
        <w:spacing w:line="360" w:lineRule="auto"/>
        <w:ind w:firstLine="562" w:firstLineChars="200"/>
        <w:jc w:val="center"/>
        <w:rPr>
          <w:rFonts w:ascii="宋体" w:hAnsi="宋体" w:eastAsia="宋体"/>
          <w:b/>
          <w:bCs/>
          <w:sz w:val="28"/>
          <w:szCs w:val="28"/>
        </w:rPr>
      </w:pPr>
      <w:r>
        <w:rPr>
          <w:rFonts w:hint="eastAsia" w:ascii="宋体" w:hAnsi="宋体" w:eastAsia="宋体"/>
          <w:b/>
          <w:bCs/>
          <w:sz w:val="28"/>
          <w:szCs w:val="28"/>
        </w:rPr>
        <w:t>区级公开课开设汇总表</w:t>
      </w:r>
    </w:p>
    <w:tbl>
      <w:tblPr>
        <w:tblStyle w:val="5"/>
        <w:tblW w:w="9146" w:type="dxa"/>
        <w:tblInd w:w="0" w:type="dxa"/>
        <w:tblLayout w:type="fixed"/>
        <w:tblCellMar>
          <w:top w:w="15" w:type="dxa"/>
          <w:left w:w="15" w:type="dxa"/>
          <w:bottom w:w="15" w:type="dxa"/>
          <w:right w:w="15" w:type="dxa"/>
        </w:tblCellMar>
      </w:tblPr>
      <w:tblGrid>
        <w:gridCol w:w="596"/>
        <w:gridCol w:w="922"/>
        <w:gridCol w:w="3030"/>
        <w:gridCol w:w="1485"/>
        <w:gridCol w:w="2280"/>
        <w:gridCol w:w="833"/>
      </w:tblGrid>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序号</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执教者</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开课课题</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开课时间</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组织单位</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级别</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1</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张璐妍</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百分数的认识</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2023.11.28</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张璐妍</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我校视力情况怎么样？</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2024.03.05</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154"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3</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刘红</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认识11-20各数</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2023.10.30</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4</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刘红</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20以内数的复习</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2024.1.2</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5</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刘红</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认识小面额人民币</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2024.5.11</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6</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施佳丽</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解决问题的复习</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2024.1.16</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7</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戴莉</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可能性</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2023.9.26</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8</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周敏</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观察物体</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2023.9.21</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9</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周敏</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认识东南西北</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2024.3.5</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10</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戴莉</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用计算器计算</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2024.3.22</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171"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11</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李羚</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加法运算律</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2024.4.23</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12</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丁媛媛</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角的初步认识</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2024.6.13</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13</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乔茜</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解决同样多实际问题</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2024.6.13</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14</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陈烨</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可能性</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2023.11.28</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1</w:t>
            </w:r>
            <w:r>
              <w:rPr>
                <w:rFonts w:hint="eastAsia" w:ascii="宋体" w:hAnsi="宋体" w:eastAsia="宋体"/>
                <w:szCs w:val="21"/>
              </w:rPr>
              <w:t>5</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巢一开</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整数四则混合运算复习</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2024.1.16</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1</w:t>
            </w:r>
            <w:r>
              <w:rPr>
                <w:rFonts w:hint="eastAsia" w:ascii="宋体" w:hAnsi="宋体" w:eastAsia="宋体"/>
                <w:szCs w:val="21"/>
              </w:rPr>
              <w:t>6</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韩舒阳</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确定位置</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2024.3.22</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1</w:t>
            </w:r>
            <w:r>
              <w:rPr>
                <w:rFonts w:hint="eastAsia" w:ascii="宋体" w:hAnsi="宋体" w:eastAsia="宋体"/>
                <w:szCs w:val="21"/>
              </w:rPr>
              <w:t>7</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张云杰</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几何图形中的奥秘</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2024.4.23</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1</w:t>
            </w:r>
            <w:r>
              <w:rPr>
                <w:rFonts w:hint="eastAsia" w:ascii="宋体" w:hAnsi="宋体" w:eastAsia="宋体"/>
                <w:szCs w:val="21"/>
              </w:rPr>
              <w:t>8</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周鑫淼</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解决问题的策略——转化</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2024.5.17</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18</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潘青</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立体图形的表面积和体积</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2024.5.17</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w:t>
            </w:r>
            <w:r>
              <w:rPr>
                <w:rFonts w:hint="eastAsia" w:ascii="宋体" w:hAnsi="宋体" w:eastAsia="宋体"/>
                <w:szCs w:val="21"/>
              </w:rPr>
              <w:t>0</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刘孝玲</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认识线段</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2023.12.27</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w:t>
            </w:r>
            <w:r>
              <w:rPr>
                <w:rFonts w:hint="eastAsia" w:ascii="宋体" w:hAnsi="宋体" w:eastAsia="宋体"/>
                <w:szCs w:val="21"/>
              </w:rPr>
              <w:t>1</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骆晓倩</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认识厘米</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2023.12.27</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r>
        <w:tblPrEx>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w:t>
            </w:r>
            <w:r>
              <w:rPr>
                <w:rFonts w:hint="eastAsia" w:ascii="宋体" w:hAnsi="宋体" w:eastAsia="宋体"/>
                <w:szCs w:val="21"/>
              </w:rPr>
              <w:t>2</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巢一开</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数字与信息</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2024.5.24</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tcPr>
          <w:p>
            <w:pPr>
              <w:spacing w:line="360" w:lineRule="auto"/>
              <w:rPr>
                <w:rFonts w:ascii="宋体" w:hAnsi="宋体" w:eastAsia="宋体"/>
                <w:szCs w:val="21"/>
              </w:rPr>
            </w:pPr>
            <w:r>
              <w:rPr>
                <w:rFonts w:ascii="宋体" w:hAnsi="宋体" w:eastAsia="宋体"/>
                <w:szCs w:val="21"/>
              </w:rPr>
              <w:t>区级</w:t>
            </w:r>
          </w:p>
        </w:tc>
      </w:tr>
    </w:tbl>
    <w:p>
      <w:pPr>
        <w:widowControl/>
        <w:shd w:val="clear" w:color="auto" w:fill="FFFFFF"/>
        <w:spacing w:line="312" w:lineRule="auto"/>
        <w:ind w:firstLine="480"/>
        <w:jc w:val="left"/>
        <w:rPr>
          <w:rFonts w:hint="eastAsia" w:ascii="宋体" w:hAnsi="宋体" w:eastAsia="宋体" w:cs="宋体"/>
          <w:color w:val="313131"/>
          <w:kern w:val="0"/>
          <w:sz w:val="24"/>
          <w:szCs w:val="24"/>
        </w:rPr>
      </w:pP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color w:val="313131"/>
          <w:kern w:val="0"/>
          <w:sz w:val="24"/>
          <w:szCs w:val="24"/>
        </w:rPr>
        <w:t>3.学会总结，科学表达。这一年对“数学学科实践”的研究，很多老师对“数学学科实践”有了更深的理解，并撰写和发表了很多相关的论文。</w:t>
      </w: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color w:val="313131"/>
          <w:kern w:val="0"/>
          <w:sz w:val="24"/>
          <w:szCs w:val="24"/>
        </w:rPr>
        <w:t>4.梯队成长，职称晋升。在本年市、区五级梯队评比中，有9位老师，12人次通过努力获得了称号，其他老师也在不断寻求发展和进步。另外，还有两位老师的职称得到了晋升。</w:t>
      </w:r>
    </w:p>
    <w:p>
      <w:pPr>
        <w:spacing w:line="360" w:lineRule="auto"/>
        <w:ind w:firstLine="562" w:firstLineChars="200"/>
        <w:jc w:val="center"/>
        <w:rPr>
          <w:rFonts w:ascii="宋体" w:hAnsi="宋体" w:eastAsia="宋体"/>
          <w:b/>
          <w:bCs/>
          <w:sz w:val="28"/>
          <w:szCs w:val="28"/>
        </w:rPr>
      </w:pPr>
      <w:r>
        <w:rPr>
          <w:rFonts w:hint="eastAsia" w:ascii="宋体" w:hAnsi="宋体" w:eastAsia="宋体"/>
          <w:b/>
          <w:bCs/>
          <w:sz w:val="28"/>
          <w:szCs w:val="28"/>
        </w:rPr>
        <w:t>专业称号晋升一览表</w:t>
      </w:r>
    </w:p>
    <w:tbl>
      <w:tblPr>
        <w:tblStyle w:val="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978"/>
        <w:gridCol w:w="3245"/>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978" w:type="dxa"/>
            <w:vAlign w:val="center"/>
          </w:tcPr>
          <w:p>
            <w:pPr>
              <w:spacing w:line="360" w:lineRule="auto"/>
              <w:jc w:val="center"/>
              <w:rPr>
                <w:rFonts w:ascii="宋体" w:hAnsi="宋体" w:eastAsia="宋体" w:cs="Times New Roman"/>
                <w:kern w:val="0"/>
                <w:szCs w:val="21"/>
              </w:rPr>
            </w:pPr>
            <w:r>
              <w:rPr>
                <w:rFonts w:ascii="宋体" w:hAnsi="宋体" w:eastAsia="宋体" w:cs="Times New Roman"/>
                <w:kern w:val="0"/>
                <w:szCs w:val="21"/>
              </w:rPr>
              <w:t>姓名</w:t>
            </w:r>
          </w:p>
        </w:tc>
        <w:tc>
          <w:tcPr>
            <w:tcW w:w="3245" w:type="dxa"/>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b/>
                <w:bCs/>
                <w:color w:val="000000"/>
                <w:kern w:val="0"/>
                <w:szCs w:val="21"/>
              </w:rPr>
              <w:t>专业称号</w:t>
            </w:r>
          </w:p>
        </w:tc>
        <w:tc>
          <w:tcPr>
            <w:tcW w:w="2820" w:type="dxa"/>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w:t>
            </w:r>
          </w:p>
        </w:tc>
        <w:tc>
          <w:tcPr>
            <w:tcW w:w="1978" w:type="dxa"/>
            <w:vAlign w:val="center"/>
          </w:tcPr>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施佳丽</w:t>
            </w:r>
          </w:p>
        </w:tc>
        <w:tc>
          <w:tcPr>
            <w:tcW w:w="3245" w:type="dxa"/>
            <w:vAlign w:val="center"/>
          </w:tcPr>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常州市教学能手</w:t>
            </w:r>
          </w:p>
        </w:tc>
        <w:tc>
          <w:tcPr>
            <w:tcW w:w="2820" w:type="dxa"/>
            <w:vAlign w:val="center"/>
          </w:tcPr>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w:t>
            </w:r>
          </w:p>
        </w:tc>
        <w:tc>
          <w:tcPr>
            <w:tcW w:w="1978" w:type="dxa"/>
            <w:vAlign w:val="center"/>
          </w:tcPr>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陈烨</w:t>
            </w:r>
          </w:p>
        </w:tc>
        <w:tc>
          <w:tcPr>
            <w:tcW w:w="3245" w:type="dxa"/>
            <w:vAlign w:val="center"/>
          </w:tcPr>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新北区教坛新秀</w:t>
            </w:r>
          </w:p>
        </w:tc>
        <w:tc>
          <w:tcPr>
            <w:tcW w:w="2820" w:type="dxa"/>
            <w:vAlign w:val="center"/>
          </w:tcPr>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vAlign w:val="center"/>
          </w:tcPr>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w:t>
            </w:r>
          </w:p>
        </w:tc>
        <w:tc>
          <w:tcPr>
            <w:tcW w:w="1978" w:type="dxa"/>
            <w:vAlign w:val="center"/>
          </w:tcPr>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骆晓倩</w:t>
            </w:r>
          </w:p>
        </w:tc>
        <w:tc>
          <w:tcPr>
            <w:tcW w:w="3245" w:type="dxa"/>
            <w:vAlign w:val="center"/>
          </w:tcPr>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新北区教学能手</w:t>
            </w:r>
          </w:p>
        </w:tc>
        <w:tc>
          <w:tcPr>
            <w:tcW w:w="2820" w:type="dxa"/>
            <w:vAlign w:val="center"/>
          </w:tcPr>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w:t>
            </w:r>
          </w:p>
        </w:tc>
        <w:tc>
          <w:tcPr>
            <w:tcW w:w="1978" w:type="dxa"/>
            <w:vAlign w:val="center"/>
          </w:tcPr>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刘孝玲</w:t>
            </w:r>
          </w:p>
        </w:tc>
        <w:tc>
          <w:tcPr>
            <w:tcW w:w="3245" w:type="dxa"/>
            <w:vAlign w:val="center"/>
          </w:tcPr>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常州市教学能手</w:t>
            </w:r>
          </w:p>
        </w:tc>
        <w:tc>
          <w:tcPr>
            <w:tcW w:w="2820" w:type="dxa"/>
            <w:vAlign w:val="center"/>
          </w:tcPr>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2023.12</w:t>
            </w:r>
          </w:p>
        </w:tc>
      </w:tr>
    </w:tbl>
    <w:p>
      <w:pPr>
        <w:spacing w:line="360" w:lineRule="auto"/>
        <w:jc w:val="center"/>
        <w:rPr>
          <w:rFonts w:ascii="宋体" w:hAnsi="宋体" w:eastAsia="宋体"/>
          <w:b/>
          <w:bCs/>
          <w:sz w:val="28"/>
          <w:szCs w:val="28"/>
        </w:rPr>
      </w:pPr>
      <w:r>
        <w:rPr>
          <w:rFonts w:ascii="宋体" w:hAnsi="宋体" w:eastAsia="宋体"/>
          <w:b/>
          <w:bCs/>
          <w:sz w:val="28"/>
          <w:szCs w:val="28"/>
        </w:rPr>
        <w:t>职称晋升一览表</w:t>
      </w:r>
    </w:p>
    <w:tbl>
      <w:tblPr>
        <w:tblStyle w:val="5"/>
        <w:tblpPr w:vertAnchor="page" w:horzAnchor="margin" w:tblpXSpec="center" w:tblpY="10108"/>
        <w:tblW w:w="8918" w:type="dxa"/>
        <w:tblInd w:w="0" w:type="dxa"/>
        <w:tblLayout w:type="fixed"/>
        <w:tblCellMar>
          <w:top w:w="0" w:type="dxa"/>
          <w:left w:w="90" w:type="dxa"/>
          <w:bottom w:w="0" w:type="dxa"/>
          <w:right w:w="90" w:type="dxa"/>
        </w:tblCellMar>
      </w:tblPr>
      <w:tblGrid>
        <w:gridCol w:w="1095"/>
        <w:gridCol w:w="1618"/>
        <w:gridCol w:w="3240"/>
        <w:gridCol w:w="2965"/>
      </w:tblGrid>
      <w:tr>
        <w:tblPrEx>
          <w:tblCellMar>
            <w:top w:w="0" w:type="dxa"/>
            <w:left w:w="90" w:type="dxa"/>
            <w:bottom w:w="0" w:type="dxa"/>
            <w:right w:w="90" w:type="dxa"/>
          </w:tblCellMar>
        </w:tblPrEx>
        <w:trPr>
          <w:trHeight w:val="528" w:hRule="atLeast"/>
        </w:trPr>
        <w:tc>
          <w:tcPr>
            <w:tcW w:w="1095"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spacing w:line="360" w:lineRule="auto"/>
              <w:jc w:val="center"/>
              <w:rPr>
                <w:rFonts w:ascii="宋体" w:hAnsi="宋体" w:eastAsia="宋体"/>
                <w:kern w:val="0"/>
                <w:szCs w:val="21"/>
              </w:rPr>
            </w:pPr>
            <w:r>
              <w:rPr>
                <w:rFonts w:hint="eastAsia" w:ascii="宋体" w:hAnsi="宋体" w:eastAsia="宋体"/>
                <w:kern w:val="0"/>
                <w:szCs w:val="21"/>
              </w:rPr>
              <w:t>序号</w:t>
            </w:r>
          </w:p>
        </w:tc>
        <w:tc>
          <w:tcPr>
            <w:tcW w:w="1618"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spacing w:line="360" w:lineRule="auto"/>
              <w:jc w:val="center"/>
              <w:rPr>
                <w:rFonts w:ascii="宋体" w:hAnsi="宋体" w:eastAsia="宋体"/>
                <w:kern w:val="0"/>
                <w:szCs w:val="21"/>
              </w:rPr>
            </w:pPr>
            <w:r>
              <w:rPr>
                <w:rFonts w:hint="eastAsia" w:ascii="宋体" w:hAnsi="宋体" w:eastAsia="宋体"/>
                <w:kern w:val="0"/>
                <w:szCs w:val="21"/>
              </w:rPr>
              <w:t>姓名</w:t>
            </w:r>
          </w:p>
        </w:tc>
        <w:tc>
          <w:tcPr>
            <w:tcW w:w="3240" w:type="dxa"/>
            <w:tcBorders>
              <w:top w:val="single" w:color="000000" w:sz="2" w:space="0"/>
              <w:left w:val="single" w:color="auto" w:sz="2" w:space="0"/>
              <w:bottom w:val="single" w:color="000000" w:sz="2" w:space="0"/>
              <w:right w:val="single" w:color="000000" w:sz="2" w:space="0"/>
            </w:tcBorders>
            <w:shd w:val="clear" w:color="auto" w:fill="auto"/>
            <w:tcMar>
              <w:left w:w="54" w:type="dxa"/>
              <w:right w:w="54" w:type="dxa"/>
            </w:tcMar>
            <w:vAlign w:val="center"/>
          </w:tcPr>
          <w:p>
            <w:pPr>
              <w:spacing w:line="360" w:lineRule="auto"/>
              <w:jc w:val="center"/>
              <w:rPr>
                <w:rFonts w:ascii="宋体" w:hAnsi="宋体" w:eastAsia="宋体"/>
                <w:kern w:val="0"/>
                <w:szCs w:val="21"/>
              </w:rPr>
            </w:pPr>
            <w:r>
              <w:rPr>
                <w:rFonts w:hint="eastAsia" w:ascii="宋体" w:hAnsi="宋体" w:eastAsia="宋体"/>
                <w:b/>
                <w:bCs/>
                <w:kern w:val="0"/>
                <w:szCs w:val="21"/>
              </w:rPr>
              <w:t>现职称</w:t>
            </w:r>
          </w:p>
        </w:tc>
        <w:tc>
          <w:tcPr>
            <w:tcW w:w="2965"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spacing w:line="360" w:lineRule="auto"/>
              <w:jc w:val="center"/>
              <w:rPr>
                <w:rFonts w:ascii="宋体" w:hAnsi="宋体" w:eastAsia="宋体"/>
                <w:kern w:val="0"/>
                <w:szCs w:val="21"/>
              </w:rPr>
            </w:pPr>
            <w:r>
              <w:rPr>
                <w:rFonts w:hint="eastAsia" w:ascii="宋体" w:hAnsi="宋体" w:eastAsia="宋体"/>
                <w:kern w:val="0"/>
                <w:szCs w:val="21"/>
              </w:rPr>
              <w:t>晋升时间</w:t>
            </w:r>
          </w:p>
        </w:tc>
      </w:tr>
      <w:tr>
        <w:tblPrEx>
          <w:tblCellMar>
            <w:top w:w="0" w:type="dxa"/>
            <w:left w:w="90" w:type="dxa"/>
            <w:bottom w:w="0" w:type="dxa"/>
            <w:right w:w="90" w:type="dxa"/>
          </w:tblCellMar>
        </w:tblPrEx>
        <w:trPr>
          <w:trHeight w:val="536" w:hRule="atLeast"/>
        </w:trPr>
        <w:tc>
          <w:tcPr>
            <w:tcW w:w="1095"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spacing w:line="360" w:lineRule="auto"/>
              <w:jc w:val="center"/>
              <w:rPr>
                <w:rFonts w:ascii="宋体" w:hAnsi="宋体" w:eastAsia="宋体"/>
                <w:kern w:val="0"/>
                <w:szCs w:val="21"/>
              </w:rPr>
            </w:pPr>
            <w:r>
              <w:rPr>
                <w:rFonts w:hint="eastAsia" w:ascii="宋体" w:hAnsi="宋体" w:eastAsia="宋体"/>
                <w:kern w:val="0"/>
                <w:szCs w:val="21"/>
              </w:rPr>
              <w:t>1</w:t>
            </w:r>
          </w:p>
        </w:tc>
        <w:tc>
          <w:tcPr>
            <w:tcW w:w="1618"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spacing w:line="360" w:lineRule="auto"/>
              <w:jc w:val="center"/>
              <w:rPr>
                <w:rFonts w:ascii="宋体" w:hAnsi="宋体" w:eastAsia="宋体"/>
                <w:kern w:val="0"/>
                <w:szCs w:val="21"/>
              </w:rPr>
            </w:pPr>
            <w:r>
              <w:rPr>
                <w:rFonts w:hint="eastAsia" w:ascii="宋体" w:hAnsi="宋体" w:eastAsia="宋体"/>
                <w:kern w:val="0"/>
                <w:szCs w:val="21"/>
              </w:rPr>
              <w:t>李羚</w:t>
            </w:r>
          </w:p>
        </w:tc>
        <w:tc>
          <w:tcPr>
            <w:tcW w:w="3240" w:type="dxa"/>
            <w:tcBorders>
              <w:top w:val="single" w:color="000000" w:sz="2" w:space="0"/>
              <w:left w:val="single" w:color="auto" w:sz="2" w:space="0"/>
              <w:bottom w:val="single" w:color="000000" w:sz="2" w:space="0"/>
              <w:right w:val="single" w:color="000000" w:sz="2" w:space="0"/>
            </w:tcBorders>
            <w:shd w:val="clear" w:color="auto" w:fill="auto"/>
            <w:tcMar>
              <w:left w:w="54" w:type="dxa"/>
              <w:right w:w="54" w:type="dxa"/>
            </w:tcMar>
            <w:vAlign w:val="center"/>
          </w:tcPr>
          <w:p>
            <w:pPr>
              <w:spacing w:line="360" w:lineRule="auto"/>
              <w:jc w:val="center"/>
              <w:rPr>
                <w:rFonts w:ascii="宋体" w:hAnsi="宋体" w:eastAsia="宋体"/>
                <w:kern w:val="0"/>
                <w:szCs w:val="21"/>
              </w:rPr>
            </w:pPr>
            <w:r>
              <w:rPr>
                <w:rFonts w:hint="eastAsia" w:ascii="宋体" w:hAnsi="宋体" w:eastAsia="宋体"/>
                <w:kern w:val="0"/>
                <w:szCs w:val="21"/>
              </w:rPr>
              <w:t>中小学一级</w:t>
            </w:r>
          </w:p>
        </w:tc>
        <w:tc>
          <w:tcPr>
            <w:tcW w:w="2965"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spacing w:line="360" w:lineRule="auto"/>
              <w:jc w:val="center"/>
              <w:rPr>
                <w:rFonts w:ascii="宋体" w:hAnsi="宋体" w:eastAsia="宋体"/>
                <w:kern w:val="0"/>
                <w:szCs w:val="21"/>
              </w:rPr>
            </w:pPr>
            <w:r>
              <w:rPr>
                <w:rFonts w:hint="eastAsia" w:ascii="宋体" w:hAnsi="宋体" w:eastAsia="宋体"/>
                <w:kern w:val="0"/>
                <w:szCs w:val="21"/>
              </w:rPr>
              <w:t>2023.12.16</w:t>
            </w:r>
          </w:p>
        </w:tc>
      </w:tr>
    </w:tbl>
    <w:p>
      <w:pPr>
        <w:widowControl/>
        <w:shd w:val="clear" w:color="auto" w:fill="FFFFFF"/>
        <w:spacing w:line="312" w:lineRule="auto"/>
        <w:ind w:firstLine="480"/>
        <w:jc w:val="left"/>
        <w:rPr>
          <w:rFonts w:hint="eastAsia" w:ascii="宋体" w:hAnsi="宋体" w:eastAsia="宋体" w:cs="宋体"/>
          <w:color w:val="313131"/>
          <w:kern w:val="0"/>
          <w:sz w:val="24"/>
          <w:szCs w:val="24"/>
        </w:rPr>
      </w:pPr>
    </w:p>
    <w:p>
      <w:pPr>
        <w:widowControl/>
        <w:shd w:val="clear" w:color="auto" w:fill="FFFFFF"/>
        <w:spacing w:line="312" w:lineRule="auto"/>
        <w:jc w:val="center"/>
        <w:rPr>
          <w:rFonts w:ascii="宋体" w:hAnsi="宋体" w:eastAsia="宋体" w:cs="宋体"/>
          <w:color w:val="313131"/>
          <w:kern w:val="0"/>
          <w:sz w:val="24"/>
          <w:szCs w:val="24"/>
        </w:rPr>
      </w:pPr>
    </w:p>
    <w:p>
      <w:pPr>
        <w:widowControl/>
        <w:shd w:val="clear" w:color="auto" w:fill="FFFFFF"/>
        <w:spacing w:line="312" w:lineRule="auto"/>
        <w:ind w:firstLine="480"/>
        <w:jc w:val="left"/>
        <w:rPr>
          <w:rFonts w:ascii="宋体" w:hAnsi="宋体" w:eastAsia="宋体" w:cs="宋体"/>
          <w:color w:val="313131"/>
          <w:kern w:val="0"/>
          <w:sz w:val="24"/>
          <w:szCs w:val="24"/>
        </w:rPr>
      </w:pPr>
      <w:r>
        <w:rPr>
          <w:rFonts w:hint="eastAsia" w:ascii="宋体" w:hAnsi="宋体" w:eastAsia="宋体" w:cs="宋体"/>
          <w:color w:val="313131"/>
          <w:kern w:val="0"/>
          <w:sz w:val="24"/>
          <w:szCs w:val="24"/>
        </w:rPr>
        <w:t>当然，在一年的工作中，我们也有一些需要改进的工作，如何全方面地提升老师的专业素养，为教师提供更多的成长平台，是我们后期需要努力的方向。</w:t>
      </w:r>
    </w:p>
    <w:p>
      <w:pPr>
        <w:widowControl/>
        <w:shd w:val="clear" w:color="auto" w:fill="FFFFFF"/>
        <w:spacing w:line="312" w:lineRule="auto"/>
        <w:jc w:val="right"/>
        <w:rPr>
          <w:rFonts w:ascii="宋体" w:hAnsi="宋体" w:eastAsia="宋体" w:cs="宋体"/>
          <w:color w:val="313131"/>
          <w:kern w:val="0"/>
          <w:sz w:val="24"/>
          <w:szCs w:val="24"/>
        </w:rPr>
      </w:pPr>
      <w:r>
        <w:rPr>
          <w:rFonts w:hint="eastAsia" w:ascii="宋体" w:hAnsi="宋体" w:eastAsia="宋体" w:cs="宋体"/>
          <w:color w:val="313131"/>
          <w:kern w:val="0"/>
          <w:sz w:val="24"/>
          <w:szCs w:val="24"/>
        </w:rPr>
        <w:t>新北区小学教学倪敏培育室</w:t>
      </w:r>
    </w:p>
    <w:p>
      <w:pPr>
        <w:widowControl/>
        <w:shd w:val="clear" w:color="auto" w:fill="FFFFFF"/>
        <w:spacing w:line="312" w:lineRule="auto"/>
        <w:ind w:firstLine="240"/>
        <w:jc w:val="right"/>
        <w:rPr>
          <w:rFonts w:ascii="宋体" w:hAnsi="宋体" w:eastAsia="宋体"/>
          <w:sz w:val="24"/>
          <w:szCs w:val="24"/>
        </w:rPr>
      </w:pPr>
      <w:r>
        <w:rPr>
          <w:rFonts w:hint="eastAsia" w:ascii="宋体" w:hAnsi="宋体" w:eastAsia="宋体" w:cs="宋体"/>
          <w:color w:val="313131"/>
          <w:kern w:val="0"/>
          <w:sz w:val="24"/>
          <w:szCs w:val="24"/>
        </w:rPr>
        <w:t>202</w:t>
      </w:r>
      <w:r>
        <w:rPr>
          <w:rFonts w:ascii="宋体" w:hAnsi="宋体" w:eastAsia="宋体" w:cs="宋体"/>
          <w:color w:val="313131"/>
          <w:kern w:val="0"/>
          <w:sz w:val="24"/>
          <w:szCs w:val="24"/>
        </w:rPr>
        <w:t>4</w:t>
      </w:r>
      <w:r>
        <w:rPr>
          <w:rFonts w:hint="eastAsia" w:ascii="宋体" w:hAnsi="宋体" w:eastAsia="宋体" w:cs="宋体"/>
          <w:color w:val="313131"/>
          <w:kern w:val="0"/>
          <w:sz w:val="24"/>
          <w:szCs w:val="24"/>
        </w:rPr>
        <w:t>.</w:t>
      </w:r>
      <w:r>
        <w:rPr>
          <w:rFonts w:ascii="宋体" w:hAnsi="宋体" w:eastAsia="宋体" w:cs="宋体"/>
          <w:color w:val="313131"/>
          <w:kern w:val="0"/>
          <w:sz w:val="24"/>
          <w:szCs w:val="24"/>
        </w:rPr>
        <w:t>6</w:t>
      </w:r>
      <w:r>
        <w:rPr>
          <w:rFonts w:hint="eastAsia" w:ascii="宋体" w:hAnsi="宋体" w:eastAsia="宋体" w:cs="宋体"/>
          <w:color w:val="313131"/>
          <w:kern w:val="0"/>
          <w:sz w:val="24"/>
          <w:szCs w:val="24"/>
        </w:rPr>
        <w:t>.30</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kNWFjY2E4OThmOTI1NDFjMTk3ZjdmMzhhY2MzZTQifQ=="/>
  </w:docVars>
  <w:rsids>
    <w:rsidRoot w:val="00A7144E"/>
    <w:rsid w:val="000037D0"/>
    <w:rsid w:val="00021B9F"/>
    <w:rsid w:val="0005277E"/>
    <w:rsid w:val="000C5818"/>
    <w:rsid w:val="00102083"/>
    <w:rsid w:val="00135851"/>
    <w:rsid w:val="001632C7"/>
    <w:rsid w:val="0017352B"/>
    <w:rsid w:val="002622DD"/>
    <w:rsid w:val="00311846"/>
    <w:rsid w:val="00384444"/>
    <w:rsid w:val="0050361E"/>
    <w:rsid w:val="00614C93"/>
    <w:rsid w:val="006810D4"/>
    <w:rsid w:val="006D296B"/>
    <w:rsid w:val="00702FC8"/>
    <w:rsid w:val="00781593"/>
    <w:rsid w:val="0080409D"/>
    <w:rsid w:val="0082426B"/>
    <w:rsid w:val="00874A08"/>
    <w:rsid w:val="008919EE"/>
    <w:rsid w:val="008B0801"/>
    <w:rsid w:val="008F6E67"/>
    <w:rsid w:val="00985BD7"/>
    <w:rsid w:val="009C573A"/>
    <w:rsid w:val="00A31E87"/>
    <w:rsid w:val="00A37908"/>
    <w:rsid w:val="00A7144E"/>
    <w:rsid w:val="00AF459B"/>
    <w:rsid w:val="00B01F7C"/>
    <w:rsid w:val="00B838CD"/>
    <w:rsid w:val="00BA22A0"/>
    <w:rsid w:val="00C5247C"/>
    <w:rsid w:val="00D06651"/>
    <w:rsid w:val="00D57525"/>
    <w:rsid w:val="00D63055"/>
    <w:rsid w:val="00E81113"/>
    <w:rsid w:val="00F169B6"/>
    <w:rsid w:val="05121180"/>
    <w:rsid w:val="11EA58D7"/>
    <w:rsid w:val="31CB5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3"/>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标题 1 字符"/>
    <w:basedOn w:val="7"/>
    <w:link w:val="2"/>
    <w:qFormat/>
    <w:uiPriority w:val="9"/>
    <w:rPr>
      <w:rFonts w:ascii="宋体" w:hAnsi="宋体" w:eastAsia="宋体" w:cs="宋体"/>
      <w:b/>
      <w:bCs/>
      <w:kern w:val="36"/>
      <w:sz w:val="48"/>
      <w:szCs w:val="48"/>
    </w:rPr>
  </w:style>
  <w:style w:type="character" w:customStyle="1" w:styleId="12">
    <w:name w:val="rich_media_meta"/>
    <w:basedOn w:val="7"/>
    <w:uiPriority w:val="0"/>
  </w:style>
  <w:style w:type="character" w:customStyle="1" w:styleId="13">
    <w:name w:val="标题 3 字符"/>
    <w:basedOn w:val="7"/>
    <w:link w:val="3"/>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739</Words>
  <Characters>4218</Characters>
  <Lines>35</Lines>
  <Paragraphs>9</Paragraphs>
  <TotalTime>463</TotalTime>
  <ScaleCrop>false</ScaleCrop>
  <LinksUpToDate>false</LinksUpToDate>
  <CharactersWithSpaces>4948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2024-06-10T01:46:00Z</dcterms:created>
  <dc:creator>surface</dc:creator>
  <cp:lastModifiedBy>L</cp:lastModifiedBy>
  <dcterms:modified xsi:type="dcterms:W3CDTF">2024-06-29T15:27:12Z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5F4E9D980A734F65B99F8CEA7EFE677A_13</vt:lpwstr>
  </property>
</Properties>
</file>