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tbl>
      <w:tblPr>
        <w:tblStyle w:val="5"/>
        <w:tblpPr w:leftFromText="180" w:rightFromText="180" w:vertAnchor="page" w:horzAnchor="margin" w:tblpY="3901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6948"/>
        <w:gridCol w:w="1418"/>
        <w:gridCol w:w="1984"/>
        <w:gridCol w:w="1134"/>
        <w:gridCol w:w="124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6948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418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获奖时间</w:t>
            </w:r>
          </w:p>
        </w:tc>
        <w:tc>
          <w:tcPr>
            <w:tcW w:w="198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评审（组织）单位</w:t>
            </w:r>
          </w:p>
        </w:tc>
        <w:tc>
          <w:tcPr>
            <w:tcW w:w="113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  <w:tc>
          <w:tcPr>
            <w:tcW w:w="124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获奖等第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倪敏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智造场域：“双减”背景下学生积极心理品质的涵育探索</w:t>
            </w: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20</w:t>
            </w:r>
            <w:r>
              <w:rPr>
                <w:rFonts w:ascii="宋体" w:hAnsi="宋体" w:eastAsia="宋体" w:cs="宋体"/>
                <w:szCs w:val="21"/>
              </w:rPr>
              <w:t>24.01</w:t>
            </w: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江苏省教育厅办公室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省级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优秀典型案例</w:t>
            </w:r>
          </w:p>
        </w:tc>
      </w:tr>
    </w:tbl>
    <w:p>
      <w:pPr>
        <w:jc w:val="center"/>
        <w:rPr>
          <w:rFonts w:ascii="宋体" w:hAnsi="宋体" w:eastAsia="宋体"/>
          <w:b/>
          <w:bCs/>
          <w:sz w:val="36"/>
          <w:szCs w:val="32"/>
        </w:rPr>
      </w:pPr>
      <w:bookmarkStart w:id="0" w:name="_GoBack"/>
      <w:r>
        <w:rPr>
          <w:rFonts w:hint="eastAsia" w:ascii="宋体" w:hAnsi="宋体" w:eastAsia="宋体"/>
          <w:b/>
          <w:bCs/>
          <w:sz w:val="36"/>
          <w:szCs w:val="32"/>
        </w:rPr>
        <w:t>B</w:t>
      </w:r>
      <w:r>
        <w:rPr>
          <w:rFonts w:ascii="宋体" w:hAnsi="宋体" w:eastAsia="宋体"/>
          <w:b/>
          <w:bCs/>
          <w:sz w:val="36"/>
          <w:szCs w:val="32"/>
        </w:rPr>
        <w:t xml:space="preserve">10 </w:t>
      </w:r>
      <w:r>
        <w:rPr>
          <w:rFonts w:hint="eastAsia" w:ascii="宋体" w:hAnsi="宋体" w:eastAsia="宋体"/>
          <w:b/>
          <w:bCs/>
          <w:sz w:val="36"/>
          <w:szCs w:val="32"/>
        </w:rPr>
        <w:t>倪敏优秀教师培育室论文获奖情况一览表</w:t>
      </w:r>
    </w:p>
    <w:p>
      <w:pPr>
        <w:jc w:val="center"/>
        <w:rPr>
          <w:rFonts w:ascii="宋体" w:hAnsi="宋体" w:eastAsia="宋体"/>
          <w:b/>
          <w:bCs/>
          <w:sz w:val="32"/>
          <w:szCs w:val="28"/>
        </w:rPr>
      </w:pPr>
    </w:p>
    <w:p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表1 省级及以上论文获奖汇总表 </w:t>
      </w:r>
    </w:p>
    <w:p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表2 市级论文获奖汇总表 </w:t>
      </w:r>
    </w:p>
    <w:p>
      <w:pPr>
        <w:jc w:val="center"/>
      </w:pPr>
    </w:p>
    <w:p>
      <w:pPr>
        <w:jc w:val="center"/>
      </w:pP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46"/>
        <w:gridCol w:w="850"/>
        <w:gridCol w:w="7016"/>
        <w:gridCol w:w="1417"/>
        <w:gridCol w:w="1967"/>
        <w:gridCol w:w="1166"/>
        <w:gridCol w:w="11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46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50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7016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41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获奖时间</w:t>
            </w:r>
          </w:p>
        </w:tc>
        <w:tc>
          <w:tcPr>
            <w:tcW w:w="196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评审（组织）单位</w:t>
            </w:r>
          </w:p>
        </w:tc>
        <w:tc>
          <w:tcPr>
            <w:tcW w:w="1166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  <w:tc>
          <w:tcPr>
            <w:tcW w:w="1112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获奖等第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46" w:type="dxa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1</w:t>
            </w:r>
          </w:p>
        </w:tc>
        <w:tc>
          <w:tcPr>
            <w:tcW w:w="850" w:type="dxa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刘孝玲</w:t>
            </w:r>
          </w:p>
        </w:tc>
        <w:tc>
          <w:tcPr>
            <w:tcW w:w="7016" w:type="dxa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表征转译，从“表层”到“内核”</w:t>
            </w:r>
          </w:p>
        </w:tc>
        <w:tc>
          <w:tcPr>
            <w:tcW w:w="1417" w:type="dxa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2023.12</w:t>
            </w:r>
          </w:p>
        </w:tc>
        <w:tc>
          <w:tcPr>
            <w:tcW w:w="1967" w:type="dxa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常州市教育学会</w:t>
            </w:r>
          </w:p>
        </w:tc>
        <w:tc>
          <w:tcPr>
            <w:tcW w:w="1166" w:type="dxa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市级</w:t>
            </w:r>
          </w:p>
        </w:tc>
        <w:tc>
          <w:tcPr>
            <w:tcW w:w="1112" w:type="dxa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二</w:t>
            </w:r>
          </w:p>
        </w:tc>
      </w:tr>
    </w:tbl>
    <w:p>
      <w:pPr>
        <w:rPr>
          <w:rFonts w:hint="eastAsia"/>
        </w:rPr>
      </w:pPr>
    </w:p>
    <w:p>
      <w:pPr>
        <w:jc w:val="center"/>
        <w:rPr>
          <w:rFonts w:ascii="宋体" w:hAnsi="宋体" w:eastAsia="宋体"/>
          <w:b/>
          <w:bCs/>
          <w:color w:val="FF0000"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3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区级论文获奖汇总表 </w:t>
      </w:r>
    </w:p>
    <w:tbl>
      <w:tblPr>
        <w:tblStyle w:val="5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44"/>
        <w:gridCol w:w="1369"/>
        <w:gridCol w:w="6504"/>
        <w:gridCol w:w="1415"/>
        <w:gridCol w:w="1965"/>
        <w:gridCol w:w="1165"/>
        <w:gridCol w:w="11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7" w:type="pct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483" w:type="pct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2294" w:type="pct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499" w:type="pct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获奖时间</w:t>
            </w:r>
          </w:p>
        </w:tc>
        <w:tc>
          <w:tcPr>
            <w:tcW w:w="693" w:type="pct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评审（组织）单位</w:t>
            </w:r>
          </w:p>
        </w:tc>
        <w:tc>
          <w:tcPr>
            <w:tcW w:w="411" w:type="pct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  <w:tc>
          <w:tcPr>
            <w:tcW w:w="392" w:type="pct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获奖等第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7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1</w:t>
            </w:r>
          </w:p>
        </w:tc>
        <w:tc>
          <w:tcPr>
            <w:tcW w:w="483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戴莉</w:t>
            </w:r>
          </w:p>
        </w:tc>
        <w:tc>
          <w:tcPr>
            <w:tcW w:w="2294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《浅论如何在核心素养视域下提高学生的探究能力》</w:t>
            </w:r>
          </w:p>
        </w:tc>
        <w:tc>
          <w:tcPr>
            <w:tcW w:w="499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202402</w:t>
            </w:r>
          </w:p>
        </w:tc>
        <w:tc>
          <w:tcPr>
            <w:tcW w:w="693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新北区教师发展中心</w:t>
            </w:r>
          </w:p>
        </w:tc>
        <w:tc>
          <w:tcPr>
            <w:tcW w:w="411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区级</w:t>
            </w:r>
          </w:p>
        </w:tc>
        <w:tc>
          <w:tcPr>
            <w:tcW w:w="392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三等奖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7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2</w:t>
            </w:r>
          </w:p>
        </w:tc>
        <w:tc>
          <w:tcPr>
            <w:tcW w:w="483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张璐妍</w:t>
            </w:r>
          </w:p>
        </w:tc>
        <w:tc>
          <w:tcPr>
            <w:tcW w:w="2294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《立足教学实践，培养数据意识》</w:t>
            </w:r>
          </w:p>
        </w:tc>
        <w:tc>
          <w:tcPr>
            <w:tcW w:w="499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202402</w:t>
            </w:r>
          </w:p>
        </w:tc>
        <w:tc>
          <w:tcPr>
            <w:tcW w:w="693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新北区教师发展中心</w:t>
            </w:r>
          </w:p>
        </w:tc>
        <w:tc>
          <w:tcPr>
            <w:tcW w:w="411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区级</w:t>
            </w:r>
          </w:p>
        </w:tc>
        <w:tc>
          <w:tcPr>
            <w:tcW w:w="392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二等奖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7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3</w:t>
            </w:r>
          </w:p>
        </w:tc>
        <w:tc>
          <w:tcPr>
            <w:tcW w:w="483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丁媛媛</w:t>
            </w:r>
          </w:p>
        </w:tc>
        <w:tc>
          <w:tcPr>
            <w:tcW w:w="2294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《游戏——点亮学生数学童心》</w:t>
            </w:r>
          </w:p>
        </w:tc>
        <w:tc>
          <w:tcPr>
            <w:tcW w:w="499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202402</w:t>
            </w:r>
          </w:p>
        </w:tc>
        <w:tc>
          <w:tcPr>
            <w:tcW w:w="693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新北区教师发展中心</w:t>
            </w:r>
          </w:p>
        </w:tc>
        <w:tc>
          <w:tcPr>
            <w:tcW w:w="411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区级</w:t>
            </w:r>
          </w:p>
        </w:tc>
        <w:tc>
          <w:tcPr>
            <w:tcW w:w="392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二等奖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7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4</w:t>
            </w:r>
          </w:p>
        </w:tc>
        <w:tc>
          <w:tcPr>
            <w:tcW w:w="483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李羚</w:t>
            </w:r>
          </w:p>
        </w:tc>
        <w:tc>
          <w:tcPr>
            <w:tcW w:w="2294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《数学实践，以“真体验”追寻数学学习真生长》</w:t>
            </w:r>
          </w:p>
        </w:tc>
        <w:tc>
          <w:tcPr>
            <w:tcW w:w="499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202402</w:t>
            </w:r>
          </w:p>
        </w:tc>
        <w:tc>
          <w:tcPr>
            <w:tcW w:w="693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新北区教师发展中心</w:t>
            </w:r>
          </w:p>
        </w:tc>
        <w:tc>
          <w:tcPr>
            <w:tcW w:w="411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区级</w:t>
            </w:r>
          </w:p>
        </w:tc>
        <w:tc>
          <w:tcPr>
            <w:tcW w:w="392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7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5</w:t>
            </w:r>
          </w:p>
        </w:tc>
        <w:tc>
          <w:tcPr>
            <w:tcW w:w="483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刘红</w:t>
            </w:r>
          </w:p>
        </w:tc>
        <w:tc>
          <w:tcPr>
            <w:tcW w:w="2294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《新课标下的低年级数学游戏化教学模式建构》</w:t>
            </w:r>
          </w:p>
        </w:tc>
        <w:tc>
          <w:tcPr>
            <w:tcW w:w="499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202402</w:t>
            </w:r>
          </w:p>
        </w:tc>
        <w:tc>
          <w:tcPr>
            <w:tcW w:w="693" w:type="pct"/>
          </w:tcPr>
          <w:p>
            <w:pPr>
              <w:jc w:val="center"/>
            </w:pPr>
            <w:r>
              <w:rPr>
                <w:rFonts w:hint="eastAsia"/>
                <w:lang w:eastAsia="zh"/>
              </w:rPr>
              <w:t>新北区教师发展中心</w:t>
            </w:r>
          </w:p>
        </w:tc>
        <w:tc>
          <w:tcPr>
            <w:tcW w:w="411" w:type="pct"/>
          </w:tcPr>
          <w:p>
            <w:pPr>
              <w:jc w:val="center"/>
            </w:pPr>
            <w:r>
              <w:rPr>
                <w:rFonts w:hint="eastAsia"/>
                <w:lang w:eastAsia="zh"/>
              </w:rPr>
              <w:t>区级</w:t>
            </w:r>
          </w:p>
        </w:tc>
        <w:tc>
          <w:tcPr>
            <w:tcW w:w="392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三等奖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227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6</w:t>
            </w:r>
          </w:p>
        </w:tc>
        <w:tc>
          <w:tcPr>
            <w:tcW w:w="483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周敏</w:t>
            </w:r>
          </w:p>
        </w:tc>
        <w:tc>
          <w:tcPr>
            <w:tcW w:w="2294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《以情境创设为驱动培养空间观念》</w:t>
            </w:r>
          </w:p>
        </w:tc>
        <w:tc>
          <w:tcPr>
            <w:tcW w:w="499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202402</w:t>
            </w:r>
          </w:p>
        </w:tc>
        <w:tc>
          <w:tcPr>
            <w:tcW w:w="693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新北区教师发展中心</w:t>
            </w:r>
          </w:p>
        </w:tc>
        <w:tc>
          <w:tcPr>
            <w:tcW w:w="411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区级</w:t>
            </w:r>
          </w:p>
        </w:tc>
        <w:tc>
          <w:tcPr>
            <w:tcW w:w="392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二等奖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7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7</w:t>
            </w:r>
          </w:p>
        </w:tc>
        <w:tc>
          <w:tcPr>
            <w:tcW w:w="483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潘婷婷</w:t>
            </w:r>
          </w:p>
        </w:tc>
        <w:tc>
          <w:tcPr>
            <w:tcW w:w="2294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《混融理念夏小学低段数学期末“智评”实践探索</w:t>
            </w:r>
          </w:p>
        </w:tc>
        <w:tc>
          <w:tcPr>
            <w:tcW w:w="499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202402</w:t>
            </w:r>
          </w:p>
        </w:tc>
        <w:tc>
          <w:tcPr>
            <w:tcW w:w="693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新北区教师发展中心</w:t>
            </w:r>
          </w:p>
        </w:tc>
        <w:tc>
          <w:tcPr>
            <w:tcW w:w="411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区级</w:t>
            </w:r>
          </w:p>
        </w:tc>
        <w:tc>
          <w:tcPr>
            <w:tcW w:w="392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7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8</w:t>
            </w:r>
          </w:p>
        </w:tc>
        <w:tc>
          <w:tcPr>
            <w:tcW w:w="483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韩舒阳</w:t>
            </w:r>
          </w:p>
        </w:tc>
        <w:tc>
          <w:tcPr>
            <w:tcW w:w="2294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《策略引领，优化小学数学高段跨学科实践性作业设计》</w:t>
            </w:r>
          </w:p>
        </w:tc>
        <w:tc>
          <w:tcPr>
            <w:tcW w:w="499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202402</w:t>
            </w:r>
          </w:p>
        </w:tc>
        <w:tc>
          <w:tcPr>
            <w:tcW w:w="693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新北区教师发展中心</w:t>
            </w:r>
          </w:p>
        </w:tc>
        <w:tc>
          <w:tcPr>
            <w:tcW w:w="411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区级</w:t>
            </w:r>
          </w:p>
        </w:tc>
        <w:tc>
          <w:tcPr>
            <w:tcW w:w="392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二等奖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27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9</w:t>
            </w:r>
          </w:p>
        </w:tc>
        <w:tc>
          <w:tcPr>
            <w:tcW w:w="483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易赛龙</w:t>
            </w:r>
          </w:p>
        </w:tc>
        <w:tc>
          <w:tcPr>
            <w:tcW w:w="2294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《低段数学游戏化课堂活动中数感培养实施研究》</w:t>
            </w:r>
          </w:p>
        </w:tc>
        <w:tc>
          <w:tcPr>
            <w:tcW w:w="499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202402</w:t>
            </w:r>
          </w:p>
        </w:tc>
        <w:tc>
          <w:tcPr>
            <w:tcW w:w="693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新北区教师发展中心</w:t>
            </w:r>
          </w:p>
        </w:tc>
        <w:tc>
          <w:tcPr>
            <w:tcW w:w="411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区级</w:t>
            </w:r>
          </w:p>
        </w:tc>
        <w:tc>
          <w:tcPr>
            <w:tcW w:w="392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三等奖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27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10</w:t>
            </w:r>
          </w:p>
        </w:tc>
        <w:tc>
          <w:tcPr>
            <w:tcW w:w="483" w:type="pct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刘孝玲</w:t>
            </w:r>
          </w:p>
        </w:tc>
        <w:tc>
          <w:tcPr>
            <w:tcW w:w="2294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《多元表征，让“量感”落地生长》</w:t>
            </w:r>
          </w:p>
        </w:tc>
        <w:tc>
          <w:tcPr>
            <w:tcW w:w="499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202402</w:t>
            </w:r>
          </w:p>
        </w:tc>
        <w:tc>
          <w:tcPr>
            <w:tcW w:w="693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新北区教师发展中心</w:t>
            </w:r>
          </w:p>
        </w:tc>
        <w:tc>
          <w:tcPr>
            <w:tcW w:w="411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区级</w:t>
            </w:r>
          </w:p>
        </w:tc>
        <w:tc>
          <w:tcPr>
            <w:tcW w:w="392" w:type="pct"/>
            <w:shd w:val="clear" w:color="auto" w:fill="auto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二等奖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" w:hRule="atLeast"/>
        </w:trPr>
        <w:tc>
          <w:tcPr>
            <w:tcW w:w="227" w:type="pct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11</w:t>
            </w:r>
          </w:p>
        </w:tc>
        <w:tc>
          <w:tcPr>
            <w:tcW w:w="483" w:type="pct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陈烨</w:t>
            </w:r>
          </w:p>
        </w:tc>
        <w:tc>
          <w:tcPr>
            <w:tcW w:w="2294" w:type="pct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《</w:t>
            </w:r>
            <w:r>
              <w:rPr>
                <w:rFonts w:hint="eastAsia"/>
                <w:lang w:eastAsia="zh"/>
              </w:rPr>
              <w:t>“融”进课堂，“合”成素养</w:t>
            </w:r>
            <w:r>
              <w:rPr>
                <w:rFonts w:hint="eastAsia"/>
              </w:rPr>
              <w:t>》</w:t>
            </w:r>
          </w:p>
        </w:tc>
        <w:tc>
          <w:tcPr>
            <w:tcW w:w="499" w:type="pct"/>
            <w:shd w:val="clear" w:color="auto" w:fill="auto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202405</w:t>
            </w:r>
          </w:p>
        </w:tc>
        <w:tc>
          <w:tcPr>
            <w:tcW w:w="693" w:type="pct"/>
            <w:shd w:val="clear" w:color="auto" w:fill="auto"/>
            <w:vAlign w:val="center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黄埔杯论文</w:t>
            </w:r>
          </w:p>
        </w:tc>
        <w:tc>
          <w:tcPr>
            <w:tcW w:w="411" w:type="pct"/>
            <w:shd w:val="clear" w:color="auto" w:fill="auto"/>
            <w:vAlign w:val="center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区级</w:t>
            </w:r>
          </w:p>
        </w:tc>
        <w:tc>
          <w:tcPr>
            <w:tcW w:w="392" w:type="pct"/>
            <w:shd w:val="clear" w:color="auto" w:fill="auto"/>
            <w:vAlign w:val="center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二等奖</w:t>
            </w:r>
          </w:p>
        </w:tc>
      </w:tr>
    </w:tbl>
    <w:p>
      <w:pPr>
        <w:jc w:val="center"/>
        <w:rPr>
          <w:rFonts w:ascii="宋体" w:hAnsi="宋体" w:eastAsia="宋体"/>
          <w:b/>
          <w:bCs/>
          <w:color w:val="FF0000"/>
          <w:kern w:val="0"/>
          <w:sz w:val="28"/>
          <w:szCs w:val="28"/>
        </w:rPr>
      </w:pPr>
    </w:p>
    <w:p>
      <w:pPr>
        <w:jc w:val="center"/>
        <w:rPr>
          <w:b/>
          <w:sz w:val="36"/>
          <w:szCs w:val="22"/>
        </w:rPr>
      </w:pPr>
      <w:r>
        <w:rPr>
          <w:b/>
          <w:sz w:val="36"/>
        </w:rPr>
        <w:t xml:space="preserve">B10  </w:t>
      </w:r>
      <w:r>
        <w:rPr>
          <w:rFonts w:hint="eastAsia"/>
          <w:b/>
          <w:sz w:val="36"/>
        </w:rPr>
        <w:t>佐证材料</w:t>
      </w:r>
    </w:p>
    <w:p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 xml:space="preserve">材料1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省级及以上获奖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490"/>
        <w:gridCol w:w="354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1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3983990" cy="2851785"/>
                  <wp:effectExtent l="0" t="0" r="0" b="571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3990" cy="2851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</w:tbl>
    <w:p/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 xml:space="preserve">材料2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市级获奖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490"/>
        <w:gridCol w:w="354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1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2282190" cy="3096260"/>
                  <wp:effectExtent l="0" t="0" r="8890" b="381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282190" cy="3096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</w:tbl>
    <w:p>
      <w:pPr>
        <w:rPr>
          <w:rFonts w:ascii="宋体" w:hAnsi="宋体" w:eastAsia="宋体"/>
          <w:b/>
          <w:bCs/>
          <w:sz w:val="28"/>
          <w:szCs w:val="28"/>
        </w:rPr>
      </w:pPr>
      <w:r>
        <w:rPr>
          <w:rFonts w:hint="eastAsia" w:ascii="宋体" w:hAnsi="宋体" w:eastAsia="宋体"/>
          <w:b/>
          <w:bCs/>
          <w:sz w:val="28"/>
          <w:szCs w:val="28"/>
        </w:rPr>
        <w:t>、</w:t>
      </w:r>
    </w:p>
    <w:p>
      <w:pPr>
        <w:rPr>
          <w:rFonts w:ascii="宋体" w:hAnsi="宋体" w:eastAsia="宋体"/>
          <w:b/>
          <w:bCs/>
          <w:sz w:val="28"/>
          <w:szCs w:val="28"/>
        </w:rPr>
      </w:pPr>
    </w:p>
    <w:p>
      <w:pPr>
        <w:rPr>
          <w:rFonts w:ascii="宋体" w:hAnsi="宋体" w:eastAsia="宋体"/>
          <w:b/>
          <w:bCs/>
          <w:sz w:val="28"/>
          <w:szCs w:val="28"/>
        </w:rPr>
      </w:pPr>
    </w:p>
    <w:p>
      <w:pPr>
        <w:rPr>
          <w:rFonts w:hint="eastAsia" w:ascii="宋体" w:hAnsi="宋体" w:eastAsia="宋体"/>
          <w:b/>
          <w:bCs/>
          <w:sz w:val="28"/>
          <w:szCs w:val="28"/>
        </w:rPr>
      </w:pPr>
    </w:p>
    <w:p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>材料</w:t>
      </w:r>
      <w:r>
        <w:rPr>
          <w:rFonts w:ascii="宋体" w:hAnsi="宋体" w:eastAsia="宋体"/>
          <w:b/>
          <w:bCs/>
          <w:sz w:val="28"/>
          <w:szCs w:val="28"/>
        </w:rPr>
        <w:t xml:space="preserve">3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区级论文获奖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5"/>
        <w:tblpPr w:leftFromText="180" w:rightFromText="180" w:vertAnchor="text" w:horzAnchor="page" w:tblpX="2569" w:tblpY="131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490"/>
        <w:gridCol w:w="354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8" w:hRule="atLeast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color w:val="FF0000"/>
                <w:lang w:eastAsia="zh"/>
              </w:rPr>
            </w:pPr>
            <w:r>
              <w:rPr>
                <w:rFonts w:hint="eastAsia"/>
                <w:color w:val="FF0000"/>
              </w:rPr>
              <w:drawing>
                <wp:inline distT="0" distB="0" distL="114300" distR="114300">
                  <wp:extent cx="3980815" cy="3051810"/>
                  <wp:effectExtent l="0" t="0" r="635" b="1524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0815" cy="305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color w:val="FF000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color w:val="FF0000"/>
              </w:rPr>
              <w:t>2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  <w:lang w:eastAsia="zh"/>
              </w:rPr>
            </w:pPr>
            <w:r>
              <w:rPr>
                <w:rFonts w:hint="eastAsia"/>
                <w:color w:val="FF0000"/>
              </w:rPr>
              <w:drawing>
                <wp:inline distT="0" distB="0" distL="114300" distR="114300">
                  <wp:extent cx="3935730" cy="2794635"/>
                  <wp:effectExtent l="0" t="0" r="7620" b="571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5730" cy="2794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color w:val="FF000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0" w:hRule="atLeast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  <w:lang w:eastAsia="zh"/>
              </w:rPr>
            </w:pPr>
            <w:r>
              <w:rPr>
                <w:rFonts w:hint="eastAsia"/>
                <w:color w:val="FF0000"/>
                <w:lang w:eastAsia="zh"/>
              </w:rPr>
              <w:t>3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  <w:lang w:eastAsia="zh"/>
              </w:rPr>
            </w:pPr>
            <w:r>
              <w:rPr>
                <w:rFonts w:hint="eastAsia"/>
                <w:color w:val="FF0000"/>
              </w:rPr>
              <w:drawing>
                <wp:inline distT="0" distB="0" distL="114300" distR="114300">
                  <wp:extent cx="3977005" cy="2818765"/>
                  <wp:effectExtent l="0" t="0" r="4445" b="63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005" cy="281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color w:val="FF000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4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lang w:eastAsia="zh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3968750" cy="3008630"/>
                  <wp:effectExtent l="0" t="0" r="12700" b="127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8750" cy="300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http://www.pub.xbedu.net/teacher/office/reddocfbxb/doc_detail.aspx?id=9138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5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3430270" cy="2566670"/>
                  <wp:effectExtent l="0" t="0" r="17780" b="508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0270" cy="256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</w:p>
          <w:p>
            <w:pPr>
              <w:jc w:val="center"/>
            </w:pP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6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3022600" cy="2146300"/>
                  <wp:effectExtent l="0" t="0" r="6350" b="635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600" cy="214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7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2517140" cy="3286125"/>
                  <wp:effectExtent l="0" t="0" r="9525" b="1651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17140" cy="328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8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3635375" cy="2543175"/>
                  <wp:effectExtent l="0" t="0" r="3175" b="9525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5375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9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3666490" cy="2496185"/>
                  <wp:effectExtent l="0" t="0" r="10160" b="18415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6490" cy="2496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  <w:lang w:eastAsia="zh"/>
              </w:rPr>
              <w:t>10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lang w:eastAsia="zh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2621915" cy="3674745"/>
                  <wp:effectExtent l="0" t="0" r="1905" b="6985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621915" cy="3674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11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drawing>
                <wp:inline distT="0" distB="0" distL="114300" distR="114300">
                  <wp:extent cx="3973830" cy="4109720"/>
                  <wp:effectExtent l="0" t="0" r="13970" b="5080"/>
                  <wp:docPr id="1" name="图片 1" descr="a8d1676a2950be0d24988780f2b013f6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a8d1676a2950be0d24988780f2b013f6_72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3830" cy="4109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</w:tbl>
    <w:p>
      <w:pPr>
        <w:jc w:val="center"/>
        <w:rPr>
          <w:rFonts w:ascii="宋体" w:hAnsi="宋体" w:eastAsia="宋体"/>
          <w:b/>
          <w:bCs/>
          <w:sz w:val="28"/>
          <w:szCs w:val="28"/>
          <w:lang w:eastAsia="zh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widowControl/>
        <w:jc w:val="left"/>
        <w:rPr>
          <w:rFonts w:ascii="宋体" w:hAnsi="宋体" w:eastAsia="宋体"/>
          <w:b/>
          <w:bCs/>
          <w:sz w:val="28"/>
          <w:szCs w:val="28"/>
        </w:rPr>
      </w:pPr>
    </w:p>
    <w:p>
      <w:pPr>
        <w:rPr>
          <w:b/>
          <w:bCs/>
          <w:lang w:eastAsia="zh"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/>
  </w:endnote>
  <w:endnote w:type="continuationSeparator" w:id="1">
    <w:p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/>
  </w:footnote>
  <w:footnote w:type="continuationSeparator" w:id="1">
    <w:p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YyMjU0NDQ4OTRkZDQ3YWMyMjAwZDNkYzNhMTZiOGEifQ=="/>
  </w:docVars>
  <w:rsids>
    <w:rsidRoot w:val="007556A2"/>
    <w:rsid w:val="00011F3F"/>
    <w:rsid w:val="00054745"/>
    <w:rsid w:val="00173FA8"/>
    <w:rsid w:val="0023757C"/>
    <w:rsid w:val="002A01EA"/>
    <w:rsid w:val="0035480C"/>
    <w:rsid w:val="00377307"/>
    <w:rsid w:val="00403E42"/>
    <w:rsid w:val="00441DDE"/>
    <w:rsid w:val="00567B1C"/>
    <w:rsid w:val="005F349A"/>
    <w:rsid w:val="006B301E"/>
    <w:rsid w:val="007451D7"/>
    <w:rsid w:val="007556A2"/>
    <w:rsid w:val="00767F58"/>
    <w:rsid w:val="008A0993"/>
    <w:rsid w:val="00BB4E0B"/>
    <w:rsid w:val="00BF4D9C"/>
    <w:rsid w:val="00C00A0B"/>
    <w:rsid w:val="00E16BC8"/>
    <w:rsid w:val="00ED3513"/>
    <w:rsid w:val="04664A43"/>
    <w:rsid w:val="046C1637"/>
    <w:rsid w:val="04FD10E9"/>
    <w:rsid w:val="0873206B"/>
    <w:rsid w:val="09405F3B"/>
    <w:rsid w:val="0C0444C5"/>
    <w:rsid w:val="0EB6172B"/>
    <w:rsid w:val="11632393"/>
    <w:rsid w:val="17371525"/>
    <w:rsid w:val="1860228C"/>
    <w:rsid w:val="1BAB07CF"/>
    <w:rsid w:val="1CA11007"/>
    <w:rsid w:val="1D60233E"/>
    <w:rsid w:val="1F061775"/>
    <w:rsid w:val="20B736BA"/>
    <w:rsid w:val="21F53626"/>
    <w:rsid w:val="222E1FA2"/>
    <w:rsid w:val="229C10C8"/>
    <w:rsid w:val="23626B1C"/>
    <w:rsid w:val="250F61C2"/>
    <w:rsid w:val="25847A9B"/>
    <w:rsid w:val="267B47B0"/>
    <w:rsid w:val="26806A39"/>
    <w:rsid w:val="2A897858"/>
    <w:rsid w:val="31C936BD"/>
    <w:rsid w:val="31D80455"/>
    <w:rsid w:val="31DE0F75"/>
    <w:rsid w:val="33691AE5"/>
    <w:rsid w:val="35990E80"/>
    <w:rsid w:val="365B56BB"/>
    <w:rsid w:val="397A2194"/>
    <w:rsid w:val="3A8E189D"/>
    <w:rsid w:val="3AE82C1B"/>
    <w:rsid w:val="3C877459"/>
    <w:rsid w:val="3D271561"/>
    <w:rsid w:val="3DACCACE"/>
    <w:rsid w:val="3EF82889"/>
    <w:rsid w:val="41EA5032"/>
    <w:rsid w:val="43BD29AF"/>
    <w:rsid w:val="44647CC4"/>
    <w:rsid w:val="4AE23F72"/>
    <w:rsid w:val="4D570F71"/>
    <w:rsid w:val="4D946D5E"/>
    <w:rsid w:val="4DB30006"/>
    <w:rsid w:val="51BC26B3"/>
    <w:rsid w:val="5483009F"/>
    <w:rsid w:val="54967355"/>
    <w:rsid w:val="55C455B4"/>
    <w:rsid w:val="5BF56CED"/>
    <w:rsid w:val="5F9740AA"/>
    <w:rsid w:val="60070D21"/>
    <w:rsid w:val="6221696E"/>
    <w:rsid w:val="65146E65"/>
    <w:rsid w:val="669924E4"/>
    <w:rsid w:val="66D457C1"/>
    <w:rsid w:val="67DA08F2"/>
    <w:rsid w:val="68251656"/>
    <w:rsid w:val="69FD72F2"/>
    <w:rsid w:val="6B865AF4"/>
    <w:rsid w:val="6B97325B"/>
    <w:rsid w:val="6C734478"/>
    <w:rsid w:val="6D6E1218"/>
    <w:rsid w:val="6EEA5B71"/>
    <w:rsid w:val="6F4F392C"/>
    <w:rsid w:val="6FDB5492"/>
    <w:rsid w:val="6FE91AB2"/>
    <w:rsid w:val="6FFE13B1"/>
    <w:rsid w:val="74B25C81"/>
    <w:rsid w:val="759FF7AA"/>
    <w:rsid w:val="7605782D"/>
    <w:rsid w:val="76145DCF"/>
    <w:rsid w:val="77F7E687"/>
    <w:rsid w:val="77FE5039"/>
    <w:rsid w:val="7BFF645C"/>
    <w:rsid w:val="7D3D7A8C"/>
    <w:rsid w:val="7DAF82F2"/>
    <w:rsid w:val="7DFE0C2F"/>
    <w:rsid w:val="7E530E12"/>
    <w:rsid w:val="99D4AD07"/>
    <w:rsid w:val="CBCF90FB"/>
    <w:rsid w:val="EBD15D6B"/>
    <w:rsid w:val="EBD8A2D2"/>
    <w:rsid w:val="EE47E150"/>
    <w:rsid w:val="EFBFFF94"/>
    <w:rsid w:val="EFF721CA"/>
    <w:rsid w:val="FBF0A760"/>
    <w:rsid w:val="FF7FC96F"/>
    <w:rsid w:val="FFFF2B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Hyperlink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8">
    <w:name w:val="页脚 字符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眉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3.png"/><Relationship Id="rId17" Type="http://schemas.openxmlformats.org/officeDocument/2006/relationships/image" Target="media/image12.jpeg"/><Relationship Id="rId16" Type="http://schemas.openxmlformats.org/officeDocument/2006/relationships/image" Target="media/image11.pn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13</Pages>
  <Words>172</Words>
  <Characters>985</Characters>
  <Lines>8</Lines>
  <Paragraphs>2</Paragraphs>
  <TotalTime>9</TotalTime>
  <ScaleCrop>false</ScaleCrop>
  <LinksUpToDate>false</LinksUpToDate>
  <CharactersWithSpaces>1155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2024-06-19T05:22:00Z</dcterms:created>
  <dc:creator>lenovo</dc:creator>
  <cp:lastModifiedBy>L</cp:lastModifiedBy>
  <dcterms:modified xsi:type="dcterms:W3CDTF">2024-06-29T15:54:30Z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784839879AB64246BA1D6A2A938036CD_12</vt:lpwstr>
  </property>
</Properties>
</file>