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b/>
          <w:bCs w:val="0"/>
          <w:sz w:val="28"/>
          <w:szCs w:val="28"/>
          <w:u w:val="none"/>
          <w:lang w:val="en-US" w:eastAsia="zh-CN"/>
        </w:rPr>
      </w:pPr>
      <w:r>
        <w:rPr>
          <w:rFonts w:hint="eastAsia" w:ascii="宋体" w:hAnsi="宋体"/>
          <w:b/>
          <w:bCs w:val="0"/>
          <w:sz w:val="28"/>
          <w:szCs w:val="28"/>
          <w:u w:val="none"/>
          <w:lang w:val="en-US" w:eastAsia="zh-CN"/>
        </w:rPr>
        <w:t>脚踏实地研究路  日积月累探索中</w:t>
      </w:r>
    </w:p>
    <w:p>
      <w:pPr>
        <w:spacing w:line="360" w:lineRule="auto"/>
        <w:jc w:val="center"/>
        <w:rPr>
          <w:rFonts w:hint="eastAsia" w:ascii="宋体" w:hAnsi="宋体"/>
          <w:bCs/>
          <w:sz w:val="24"/>
          <w:szCs w:val="24"/>
          <w:u w:val="none"/>
          <w:lang w:val="en-US" w:eastAsia="zh-CN"/>
        </w:rPr>
      </w:pPr>
      <w:r>
        <w:rPr>
          <w:rFonts w:hint="eastAsia" w:ascii="宋体" w:hAnsi="宋体"/>
          <w:b/>
          <w:bCs w:val="0"/>
          <w:sz w:val="24"/>
          <w:szCs w:val="24"/>
          <w:u w:val="none"/>
          <w:lang w:val="en-US" w:eastAsia="zh-CN"/>
        </w:rPr>
        <w:t>——《读写一体化视角下的单元整体教学</w:t>
      </w:r>
      <w:r>
        <w:rPr>
          <w:rFonts w:hint="eastAsia" w:ascii="宋体" w:hAnsi="宋体"/>
          <w:b/>
          <w:bCs w:val="0"/>
          <w:sz w:val="24"/>
          <w:szCs w:val="24"/>
          <w:u w:val="none"/>
        </w:rPr>
        <w:t>研究</w:t>
      </w:r>
      <w:r>
        <w:rPr>
          <w:rFonts w:hint="eastAsia" w:ascii="宋体" w:hAnsi="宋体"/>
          <w:b/>
          <w:bCs w:val="0"/>
          <w:sz w:val="24"/>
          <w:szCs w:val="24"/>
          <w:u w:val="none"/>
          <w:lang w:eastAsia="zh-CN"/>
        </w:rPr>
        <w:t>》</w:t>
      </w:r>
      <w:r>
        <w:rPr>
          <w:rFonts w:hint="eastAsia" w:ascii="宋体" w:hAnsi="宋体"/>
          <w:b/>
          <w:bCs w:val="0"/>
          <w:sz w:val="24"/>
          <w:szCs w:val="24"/>
          <w:u w:val="none"/>
          <w:lang w:val="en-US" w:eastAsia="zh-CN"/>
        </w:rPr>
        <w:t>项目（课题）研究年度总结</w:t>
      </w:r>
      <w:r>
        <w:rPr>
          <w:rFonts w:hint="eastAsia" w:ascii="宋体" w:hAnsi="宋体"/>
          <w:bCs/>
          <w:sz w:val="24"/>
          <w:szCs w:val="24"/>
          <w:u w:val="none"/>
          <w:lang w:val="en-US" w:eastAsia="zh-CN"/>
        </w:rPr>
        <w:t>（2023.09-2024.06）</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《读写一体化视角下的单元整体教学研究》这一项目自2023年9月立项开始，便紧扣项目研究的方案，开展理论与实践的双线探索之路。现将围绕项目研究的计划展开汇报：</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color w:val="auto"/>
          <w:sz w:val="24"/>
          <w:highlight w:val="none"/>
          <w:lang w:val="en-US" w:eastAsia="zh-CN"/>
        </w:rPr>
      </w:pPr>
      <w:r>
        <w:rPr>
          <w:rFonts w:hint="eastAsia" w:ascii="宋体" w:hAnsi="宋体" w:cs="Times New Roman"/>
          <w:b/>
          <w:bCs/>
          <w:color w:val="auto"/>
          <w:sz w:val="24"/>
          <w:highlight w:val="none"/>
          <w:lang w:val="en-US" w:eastAsia="zh-CN"/>
        </w:rPr>
        <w:t>一、明确项目研究的学理依据与育人价值（2023年8月——2024年2月）</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color w:val="auto"/>
          <w:sz w:val="24"/>
          <w:highlight w:val="none"/>
          <w:lang w:val="en-US" w:eastAsia="zh-CN"/>
        </w:rPr>
      </w:pPr>
      <w:r>
        <w:rPr>
          <w:rFonts w:hint="eastAsia" w:ascii="宋体" w:hAnsi="宋体" w:cs="Times New Roman"/>
          <w:b/>
          <w:bCs/>
          <w:color w:val="auto"/>
          <w:sz w:val="24"/>
          <w:highlight w:val="none"/>
          <w:lang w:val="en-US" w:eastAsia="zh-CN"/>
        </w:rPr>
        <w:t>（一）查阅相关资料。在现有文献资料的基础上，借助研究工具收集整理国内外相关理论研究成果。</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textAlignment w:val="auto"/>
        <w:rPr>
          <w:rFonts w:hint="default" w:ascii="宋体" w:hAnsi="宋体" w:cs="Times New Roman"/>
          <w:b w:val="0"/>
          <w:bCs w:val="0"/>
          <w:color w:val="000000" w:themeColor="text1"/>
          <w:sz w:val="24"/>
          <w:highlight w:val="none"/>
          <w:lang w:val="en-US" w:eastAsia="zh-CN"/>
          <w14:textFill>
            <w14:solidFill>
              <w14:schemeClr w14:val="tx1"/>
            </w14:solidFill>
          </w14:textFill>
        </w:rPr>
      </w:pPr>
      <w:r>
        <w:rPr>
          <w:rFonts w:hint="eastAsia" w:ascii="宋体" w:hAnsi="宋体" w:cs="Times New Roman"/>
          <w:b w:val="0"/>
          <w:bCs w:val="0"/>
          <w:color w:val="000000" w:themeColor="text1"/>
          <w:sz w:val="24"/>
          <w:highlight w:val="none"/>
          <w:lang w:val="en-US" w:eastAsia="zh-CN"/>
          <w14:textFill>
            <w14:solidFill>
              <w14:schemeClr w14:val="tx1"/>
            </w14:solidFill>
          </w14:textFill>
        </w:rPr>
        <w:t xml:space="preserve"> 领衔人在大量阅读文献资料的基础上，将相关理论研究成果汇总成《</w:t>
      </w:r>
      <w:r>
        <w:rPr>
          <w:rFonts w:hint="eastAsia" w:ascii="宋体" w:hAnsi="宋体"/>
          <w:b w:val="0"/>
          <w:bCs w:val="0"/>
          <w:color w:val="000000" w:themeColor="text1"/>
          <w:sz w:val="24"/>
          <w:szCs w:val="24"/>
          <w:u w:val="none"/>
          <w:lang w:val="en-US" w:eastAsia="zh-CN"/>
          <w14:textFill>
            <w14:solidFill>
              <w14:schemeClr w14:val="tx1"/>
            </w14:solidFill>
          </w14:textFill>
        </w:rPr>
        <w:t>读写一体化视角下的单元整体教学</w:t>
      </w:r>
      <w:r>
        <w:rPr>
          <w:rFonts w:hint="eastAsia" w:ascii="宋体" w:hAnsi="宋体"/>
          <w:b w:val="0"/>
          <w:bCs w:val="0"/>
          <w:color w:val="000000" w:themeColor="text1"/>
          <w:sz w:val="24"/>
          <w:szCs w:val="24"/>
          <w:u w:val="none"/>
          <w14:textFill>
            <w14:solidFill>
              <w14:schemeClr w14:val="tx1"/>
            </w14:solidFill>
          </w14:textFill>
        </w:rPr>
        <w:t>研究</w:t>
      </w:r>
      <w:r>
        <w:rPr>
          <w:rFonts w:hint="eastAsia" w:ascii="宋体" w:hAnsi="宋体" w:cs="Times New Roman"/>
          <w:b w:val="0"/>
          <w:bCs w:val="0"/>
          <w:color w:val="000000" w:themeColor="text1"/>
          <w:sz w:val="24"/>
          <w:highlight w:val="none"/>
          <w:lang w:val="en-US" w:eastAsia="zh-CN"/>
          <w14:textFill>
            <w14:solidFill>
              <w14:schemeClr w14:val="tx1"/>
            </w14:solidFill>
          </w14:textFill>
        </w:rPr>
        <w:t>》的报告中，并在2023年10月培育室第一次活动作专题讲座。之后持续不断进行文献研究，在2024年培育室活动</w:t>
      </w:r>
      <w:bookmarkStart w:id="0" w:name="_GoBack"/>
      <w:bookmarkEnd w:id="0"/>
      <w:r>
        <w:rPr>
          <w:rFonts w:hint="eastAsia" w:ascii="宋体" w:hAnsi="宋体" w:cs="Times New Roman"/>
          <w:b w:val="0"/>
          <w:bCs w:val="0"/>
          <w:color w:val="000000" w:themeColor="text1"/>
          <w:sz w:val="24"/>
          <w:highlight w:val="none"/>
          <w:lang w:val="en-US" w:eastAsia="zh-CN"/>
          <w14:textFill>
            <w14:solidFill>
              <w14:schemeClr w14:val="tx1"/>
            </w14:solidFill>
          </w14:textFill>
        </w:rPr>
        <w:t>相继进行了《“文学阅读与创意表达”学习任务群学业成就评价探析》《“文学阅读与创意表达”学习任务群读写进阶之路》等理论分享。</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（二）邀请专家指导。把握好课题的研究方向，完善好课题研究具体的实施方案。</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2023年9月邀请新北区教师发展中心周文荣主任作项目方案的指导，2023年11月邀请新北区教师发展中心李志军老师指导开题论证，2023年12月邀请常州市教科院王俊博士指导课题研究，2024年6月邀请西夏墅小学薛辉校长指导课题推进。</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（三）进行理论学习。厘清单元读写一体化教学的优势，挖掘其育人价值，作为实践的依据。</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项目组扎实开展理论学习，从《我们怎样思维》《经验与教育》《教育写作指南》等通识性理论著作中明确教学思维的转换与专业写作的路径；从《学习任务群的课堂实践与深度评析》《统编小学语文优质课例与深度评析》等语文学科专著之中明白课例写作的话语系统转换以及论文表达的切入点；从《语文建设》《小学教学设计》《小学语文》等语文专业权威期刊以及荣维东、吴欣歆、吕映等高校教授学者的文献学习里逐渐明细读写进阶的单元中整体进阶思路。</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b/>
          <w:bCs/>
          <w:color w:val="auto"/>
          <w:sz w:val="24"/>
          <w:highlight w:val="none"/>
          <w:lang w:val="en-US"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二、明确项目研究的学理依据与育人价值：（2024年3月——2024年6月）</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（1）重整单元教材内容：根据读写一体的教学要求，把统编教材原生单元全部内容进行整体解读，从读写进阶角度进行二次建构。</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    典型课堂实践：2023年10月徐娴老师五上第四单元《圆明园的毁灭》，将习作单元表达任务有效关联在阅读教学之中；2023年11月许阳、陈鑫宇老师聚焦五上习作单元，分别执教《太阳》和《松鼠》，有效探讨了习作单元读写进阶的实施策略，习作任务在单篇课文中得到有效实施，最后统整为一篇完整的习作；2023年12月高昕成、郭婧依老师执教四上第八单元《王戎不取道旁李》《故事二则》，立足单元语文要素与口语交际的要求，在“传讲历史故事”的单元大情境任务下开展读写进阶，挑战特殊单元（读写不一致）单元读写进阶路径；</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（2）研制单元读写一体的教学目标。在单元内容整体解读的基础上，分学段研制单元读写一体化教学的目标。</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default"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 xml:space="preserve">    </w:t>
      </w:r>
      <w:r>
        <w:rPr>
          <w:rFonts w:hint="eastAsia" w:ascii="宋体" w:hAnsi="宋体" w:cs="Times New Roman"/>
          <w:color w:val="auto"/>
          <w:sz w:val="24"/>
          <w:highlight w:val="none"/>
          <w:lang w:val="en-US" w:eastAsia="zh-CN"/>
        </w:rPr>
        <w:t xml:space="preserve"> 典型课堂实践：2024年3月刘桢、唐婧怡老师执教四下第四单元《母鸡》《白鹅》，读写进阶单元整体教学目标清晰可见，展示效果明显；2024年5月王尹希、芮雯老师执教《蜘蛛开店》第一二课时，将读写任务教学目标在两课时教学中进行了完整呈现；</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color w:val="auto"/>
          <w:sz w:val="24"/>
          <w:highlight w:val="none"/>
          <w:lang w:val="en-US" w:eastAsia="zh-CN"/>
        </w:rPr>
      </w:pPr>
      <w:r>
        <w:rPr>
          <w:rFonts w:hint="eastAsia" w:ascii="宋体" w:hAnsi="宋体" w:cs="Times New Roman"/>
          <w:b/>
          <w:bCs/>
          <w:color w:val="auto"/>
          <w:sz w:val="24"/>
          <w:highlight w:val="none"/>
          <w:lang w:val="en-US" w:eastAsia="zh-CN"/>
        </w:rPr>
        <w:t>（3）创设情境任务研制学习方案。为单元整体教学创设情境，搭建读写任务支架，设计出适切的单元学习方案。</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典型课堂实践：2024年1月孔玉香、曾丹萍老师分别执教二年级课文《彩色的梦》《枫树上的喜鹊》，将研究的视角放在低段，借助学习任务单，尝试进行读说一体教学。202年6月陈珊、宦欢老师分别执教一下《小壁虎借尾巴》和二上《小蝌蚪找妈妈》，将课本剧运用在童话故事中，多元化的学习任务单（制作展板、写介绍词、制作道具等）有效助力读说教学目标的实施，且有效探索了同一文体，相同任务情境下，不同年段的目标递进教学。</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（4）梳理不同任务群读写进阶之路。梳理提炼不同类型单元读写一体化实施的路径，建构不同类型单元读写进阶任务群。</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典型课堂实践：2024年4月潘玲霞老师执教《要是你在野外迷了路》，聚焦单篇文本在不同任务群（“文学阅读与创意表达”任务群、“实用性阅读与交流”任务群）视角下读写进阶的不同路径；6月巢肖琴、翟绵纬老师执教三下第八单元《我们的奇妙世界》《海底世界》，聚焦“实用性阅读与交流”任务群将单元习作任务进行有效分解并进阶教学；</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color w:val="auto"/>
          <w:sz w:val="24"/>
          <w:highlight w:val="none"/>
          <w:lang w:val="en-US"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Times New Roman" w:hAnsi="Times New Roman"/>
          <w:b/>
          <w:bCs/>
          <w:kern w:val="2"/>
          <w:sz w:val="24"/>
          <w:szCs w:val="24"/>
        </w:rPr>
      </w:pPr>
      <w:r>
        <w:rPr>
          <w:rFonts w:hint="eastAsia" w:ascii="宋体" w:hAnsi="宋体" w:cs="Times New Roman"/>
          <w:b/>
          <w:bCs/>
          <w:color w:val="auto"/>
          <w:sz w:val="24"/>
          <w:highlight w:val="none"/>
          <w:lang w:val="en-US" w:eastAsia="zh-CN"/>
        </w:rPr>
        <w:t>三、一年来项目研究所取得的相关成果汇总（2023年9月——2024年6月）</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（一）论文发表与获奖：</w:t>
      </w: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课题组</w:t>
      </w:r>
      <w:r>
        <w:rPr>
          <w:rFonts w:hint="eastAsia" w:ascii="宋体" w:hAnsi="宋体" w:cs="Times New Roman"/>
          <w:color w:val="auto"/>
          <w:sz w:val="24"/>
          <w:highlight w:val="none"/>
        </w:rPr>
        <w:t>成员能及时梳理总结教学中的点滴思考，</w:t>
      </w:r>
      <w:r>
        <w:rPr>
          <w:rFonts w:hint="eastAsia" w:ascii="宋体" w:hAnsi="宋体"/>
          <w:color w:val="auto"/>
          <w:sz w:val="24"/>
          <w:lang w:val="en-US" w:eastAsia="zh-CN"/>
        </w:rPr>
        <w:t>理论素养与成果表达能力得到提高，一年内，</w:t>
      </w:r>
      <w:r>
        <w:rPr>
          <w:rFonts w:hint="eastAsia" w:ascii="宋体" w:hAnsi="宋体" w:cs="Times New Roman"/>
          <w:color w:val="auto"/>
          <w:sz w:val="24"/>
          <w:highlight w:val="none"/>
          <w:lang w:val="en-US" w:eastAsia="zh-CN"/>
        </w:rPr>
        <w:t>领衔人开设4场区级专题讲座，二培育室全体成员</w:t>
      </w:r>
      <w:r>
        <w:rPr>
          <w:rFonts w:hint="eastAsia" w:ascii="宋体" w:hAnsi="宋体" w:cs="Times New Roman"/>
          <w:color w:val="auto"/>
          <w:sz w:val="24"/>
          <w:highlight w:val="none"/>
        </w:rPr>
        <w:t>共有</w:t>
      </w:r>
      <w:r>
        <w:rPr>
          <w:rFonts w:hint="eastAsia" w:ascii="宋体" w:hAnsi="宋体" w:cs="Times New Roman"/>
          <w:color w:val="auto"/>
          <w:sz w:val="24"/>
          <w:highlight w:val="none"/>
          <w:lang w:val="en-US" w:eastAsia="zh-CN"/>
        </w:rPr>
        <w:t>14</w:t>
      </w:r>
      <w:r>
        <w:rPr>
          <w:rFonts w:hint="eastAsia" w:ascii="宋体" w:hAnsi="宋体" w:cs="Times New Roman"/>
          <w:color w:val="auto"/>
          <w:sz w:val="24"/>
          <w:highlight w:val="none"/>
        </w:rPr>
        <w:t>篇论文发表于《小学教学设计》《</w:t>
      </w:r>
      <w:r>
        <w:rPr>
          <w:rFonts w:hint="eastAsia" w:ascii="宋体" w:hAnsi="宋体" w:cs="Times New Roman"/>
          <w:color w:val="auto"/>
          <w:sz w:val="24"/>
          <w:highlight w:val="none"/>
          <w:lang w:val="en-US" w:eastAsia="zh-CN"/>
        </w:rPr>
        <w:t>教学与研究</w:t>
      </w:r>
      <w:r>
        <w:rPr>
          <w:rFonts w:hint="eastAsia" w:ascii="宋体" w:hAnsi="宋体" w:cs="Times New Roman"/>
          <w:color w:val="auto"/>
          <w:sz w:val="24"/>
          <w:highlight w:val="none"/>
        </w:rPr>
        <w:t>》等省级刊物</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在</w:t>
      </w:r>
      <w:r>
        <w:rPr>
          <w:rFonts w:hint="eastAsia" w:ascii="宋体" w:hAnsi="宋体" w:cs="Times New Roman"/>
          <w:color w:val="auto"/>
          <w:sz w:val="24"/>
          <w:highlight w:val="none"/>
          <w:lang w:val="en-US" w:eastAsia="zh-CN"/>
        </w:rPr>
        <w:t>各级各类</w:t>
      </w:r>
      <w:r>
        <w:rPr>
          <w:rFonts w:hint="eastAsia" w:ascii="宋体" w:hAnsi="宋体" w:cs="Times New Roman"/>
          <w:color w:val="auto"/>
          <w:sz w:val="24"/>
          <w:highlight w:val="none"/>
        </w:rPr>
        <w:t>的论文评比中共有</w:t>
      </w: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rPr>
        <w:t>篇论文获奖</w:t>
      </w:r>
      <w:r>
        <w:rPr>
          <w:rFonts w:hint="eastAsia" w:ascii="宋体" w:hAnsi="宋体" w:cs="Times New Roman"/>
          <w:color w:val="auto"/>
          <w:sz w:val="24"/>
          <w:highlight w:val="none"/>
          <w:lang w:eastAsia="zh-CN"/>
        </w:rPr>
        <w:t>。</w:t>
      </w:r>
    </w:p>
    <w:tbl>
      <w:tblPr>
        <w:tblStyle w:val="3"/>
        <w:tblpPr w:leftFromText="180" w:rightFromText="180" w:vertAnchor="text" w:horzAnchor="page" w:tblpX="1847" w:tblpY="334"/>
        <w:tblOverlap w:val="never"/>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1"/>
        <w:gridCol w:w="4677"/>
        <w:gridCol w:w="914"/>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8336" w:type="dxa"/>
            <w:gridSpan w:val="4"/>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hint="eastAsia" w:ascii="宋体" w:hAnsi="宋体" w:eastAsia="宋体" w:cs="宋体"/>
                <w:b/>
                <w:bCs/>
                <w:color w:val="auto"/>
                <w:kern w:val="0"/>
                <w:sz w:val="24"/>
                <w:szCs w:val="24"/>
                <w:lang w:val="en-US" w:eastAsia="zh-CN" w:bidi="ar"/>
              </w:rPr>
              <w:t>项目组专题报告或讲座情况统计表2023.09-2024.06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1021"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姓名</w:t>
            </w:r>
          </w:p>
        </w:tc>
        <w:tc>
          <w:tcPr>
            <w:tcW w:w="467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报告或讲座题目</w:t>
            </w:r>
          </w:p>
        </w:tc>
        <w:tc>
          <w:tcPr>
            <w:tcW w:w="91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级别</w:t>
            </w:r>
          </w:p>
        </w:tc>
        <w:tc>
          <w:tcPr>
            <w:tcW w:w="172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主讲时间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1021"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谢攀</w:t>
            </w:r>
          </w:p>
        </w:tc>
        <w:tc>
          <w:tcPr>
            <w:tcW w:w="467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读写一体化视角下单元整体教学的实践研究</w:t>
            </w:r>
          </w:p>
        </w:tc>
        <w:tc>
          <w:tcPr>
            <w:tcW w:w="91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区级</w:t>
            </w:r>
          </w:p>
        </w:tc>
        <w:tc>
          <w:tcPr>
            <w:tcW w:w="172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2023.10.26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1021"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谢攀</w:t>
            </w:r>
          </w:p>
        </w:tc>
        <w:tc>
          <w:tcPr>
            <w:tcW w:w="467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“文学阅读与创意表达”学习任务群学业成就评价探析</w:t>
            </w:r>
          </w:p>
        </w:tc>
        <w:tc>
          <w:tcPr>
            <w:tcW w:w="91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区级</w:t>
            </w:r>
          </w:p>
        </w:tc>
        <w:tc>
          <w:tcPr>
            <w:tcW w:w="172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2024.03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1021"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谢攀</w:t>
            </w:r>
          </w:p>
        </w:tc>
        <w:tc>
          <w:tcPr>
            <w:tcW w:w="467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做教室里最重要的学习者——关于教师阅读与写作</w:t>
            </w:r>
          </w:p>
        </w:tc>
        <w:tc>
          <w:tcPr>
            <w:tcW w:w="91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区级</w:t>
            </w:r>
          </w:p>
        </w:tc>
        <w:tc>
          <w:tcPr>
            <w:tcW w:w="172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2024.04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1021"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谢攀</w:t>
            </w:r>
          </w:p>
        </w:tc>
        <w:tc>
          <w:tcPr>
            <w:tcW w:w="467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“文学阅读与创意表达”学习任务群读写进阶之路</w:t>
            </w:r>
          </w:p>
        </w:tc>
        <w:tc>
          <w:tcPr>
            <w:tcW w:w="91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区级</w:t>
            </w:r>
          </w:p>
        </w:tc>
        <w:tc>
          <w:tcPr>
            <w:tcW w:w="172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2024.06</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textAlignment w:val="auto"/>
        <w:rPr>
          <w:rFonts w:hint="default" w:ascii="宋体" w:hAnsi="宋体" w:cs="Times New Roman"/>
          <w:color w:val="auto"/>
          <w:sz w:val="24"/>
          <w:highlight w:val="none"/>
          <w:lang w:val="en-US" w:eastAsia="zh-CN"/>
        </w:rPr>
      </w:pPr>
    </w:p>
    <w:tbl>
      <w:tblPr>
        <w:tblStyle w:val="3"/>
        <w:tblW w:w="8820" w:type="dxa"/>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7"/>
        <w:gridCol w:w="4635"/>
        <w:gridCol w:w="1572"/>
        <w:gridCol w:w="572"/>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7736" w:type="dxa"/>
            <w:gridSpan w:val="4"/>
            <w:shd w:val="clear" w:color="auto" w:fill="auto"/>
            <w:noWrap/>
            <w:vAlign w:val="center"/>
          </w:tcPr>
          <w:p>
            <w:pPr>
              <w:keepNext w:val="0"/>
              <w:keepLines w:val="0"/>
              <w:widowControl/>
              <w:suppressLineNumbers w:val="0"/>
              <w:wordWrap/>
              <w:spacing w:line="240" w:lineRule="auto"/>
              <w:jc w:val="center"/>
              <w:textAlignment w:val="center"/>
              <w:rPr>
                <w:color w:val="auto"/>
                <w:sz w:val="20"/>
                <w:szCs w:val="20"/>
              </w:rPr>
            </w:pPr>
            <w:r>
              <w:rPr>
                <w:rFonts w:hint="eastAsia" w:ascii="宋体" w:hAnsi="宋体" w:eastAsia="宋体" w:cs="宋体"/>
                <w:b/>
                <w:bCs/>
                <w:color w:val="auto"/>
                <w:kern w:val="0"/>
                <w:sz w:val="24"/>
                <w:szCs w:val="24"/>
                <w:lang w:val="en-US" w:eastAsia="zh-CN" w:bidi="ar"/>
              </w:rPr>
              <w:t>项目组论文发表情况统计表2023.09-2024.06</w:t>
            </w:r>
          </w:p>
        </w:tc>
        <w:tc>
          <w:tcPr>
            <w:tcW w:w="1084" w:type="dxa"/>
            <w:shd w:val="clear" w:color="auto" w:fill="auto"/>
            <w:noWrap/>
            <w:vAlign w:val="center"/>
          </w:tcPr>
          <w:p>
            <w:pPr>
              <w:rPr>
                <w:rFonts w:hint="eastAsia" w:ascii="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姓名</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论文题目</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发表期刊</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发表级别</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发表时间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谢攀</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《美丽中国游——二上第四单元整体教学》</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《小学教学设计》</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高昕成</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《单元整体观下的小学语文单篇教学策略》</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《教育学文摘》</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高昕成</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《单元整体视域下的小学文言文单篇教学新样态》</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《教学与研究》</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高昕成</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《单元整体视域下的小学文言文单篇教学策略》</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《中国教工》</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宦欢</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《小学语文写话教学策略研究》</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《向导》</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芮雯</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《小学语文读写一体化教学模式研究》</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《语言与教育研究》</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芮雯</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《设境激趣以趣促情以情助学》</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《双语教育研究》</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许阳</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《小学语文读写一体化主题单元设计》</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《小学生作文辅导》</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王尹希</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《小学语文课堂素材与习作有效链接初探》</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《考试周刊》</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王尹希</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《“跨学科学习任务群”视域下的习作教学实践探索》</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《小学生作文辅导》</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王尹希</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《巧设支架显思维 悦享提升助表达——小学语文习作可视化指导策略》</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《基础教育参考》</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王尹希</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《浅谈小学语文大单元读写一体化教学》</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《试题与研究》</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巢肖琴</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《大单元视域下类文阅读让小学语文教学更有效》</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《小学生》</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957"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唐婧怡</w:t>
            </w:r>
          </w:p>
        </w:tc>
        <w:tc>
          <w:tcPr>
            <w:tcW w:w="4635"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《笔下融情，以真情写实感——小学语文作文中情感因素的激发与培养》</w:t>
            </w:r>
          </w:p>
        </w:tc>
        <w:tc>
          <w:tcPr>
            <w:tcW w:w="1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《双语教育研究》</w:t>
            </w:r>
          </w:p>
        </w:tc>
        <w:tc>
          <w:tcPr>
            <w:tcW w:w="57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省级</w:t>
            </w:r>
          </w:p>
        </w:tc>
        <w:tc>
          <w:tcPr>
            <w:tcW w:w="108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 xml:space="preserve">2023.12 </w:t>
            </w:r>
          </w:p>
        </w:tc>
      </w:tr>
    </w:tbl>
    <w:tbl>
      <w:tblPr>
        <w:tblStyle w:val="3"/>
        <w:tblpPr w:leftFromText="180" w:rightFromText="180" w:vertAnchor="text" w:horzAnchor="page" w:tblpX="1523" w:tblpY="673"/>
        <w:tblOverlap w:val="never"/>
        <w:tblW w:w="8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2344"/>
        <w:gridCol w:w="2682"/>
        <w:gridCol w:w="1568"/>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8698" w:type="dxa"/>
            <w:gridSpan w:val="5"/>
            <w:shd w:val="clear" w:color="auto" w:fill="auto"/>
            <w:noWrap/>
            <w:vAlign w:val="center"/>
          </w:tcPr>
          <w:p>
            <w:pPr>
              <w:keepNext w:val="0"/>
              <w:keepLines w:val="0"/>
              <w:widowControl/>
              <w:suppressLineNumbers w:val="0"/>
              <w:wordWrap/>
              <w:spacing w:line="240" w:lineRule="auto"/>
              <w:jc w:val="center"/>
              <w:textAlignment w:val="center"/>
              <w:rPr>
                <w:color w:val="000000"/>
                <w:sz w:val="20"/>
                <w:szCs w:val="20"/>
              </w:rPr>
            </w:pPr>
            <w:r>
              <w:rPr>
                <w:rFonts w:hint="eastAsia" w:ascii="宋体" w:hAnsi="宋体" w:eastAsia="宋体" w:cs="宋体"/>
                <w:b/>
                <w:bCs/>
                <w:color w:val="auto"/>
                <w:kern w:val="0"/>
                <w:sz w:val="24"/>
                <w:szCs w:val="24"/>
                <w:lang w:val="en-US" w:eastAsia="zh-CN" w:bidi="ar"/>
              </w:rPr>
              <w:t>项目组论文获奖情况统计表2023.09-2024.06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810"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姓名</w:t>
            </w:r>
          </w:p>
        </w:tc>
        <w:tc>
          <w:tcPr>
            <w:tcW w:w="234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论文题目</w:t>
            </w:r>
          </w:p>
        </w:tc>
        <w:tc>
          <w:tcPr>
            <w:tcW w:w="2682"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获奖奖项</w:t>
            </w:r>
          </w:p>
        </w:tc>
        <w:tc>
          <w:tcPr>
            <w:tcW w:w="1568"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授奖单位</w:t>
            </w:r>
          </w:p>
        </w:tc>
        <w:tc>
          <w:tcPr>
            <w:tcW w:w="129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获奖时间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810"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高昕成</w:t>
            </w:r>
          </w:p>
        </w:tc>
        <w:tc>
          <w:tcPr>
            <w:tcW w:w="234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《单元整体视域下的小学语文单篇学习活动设计》</w:t>
            </w:r>
          </w:p>
        </w:tc>
        <w:tc>
          <w:tcPr>
            <w:tcW w:w="2682"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区教科研论文评选一等奖</w:t>
            </w:r>
          </w:p>
        </w:tc>
        <w:tc>
          <w:tcPr>
            <w:tcW w:w="1568"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新北区教师发展中心</w:t>
            </w:r>
          </w:p>
        </w:tc>
        <w:tc>
          <w:tcPr>
            <w:tcW w:w="129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2024.02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810"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高昕成</w:t>
            </w:r>
          </w:p>
        </w:tc>
        <w:tc>
          <w:tcPr>
            <w:tcW w:w="234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《文言文课堂活动：涵育小学生思维能力的启明星》</w:t>
            </w:r>
          </w:p>
        </w:tc>
        <w:tc>
          <w:tcPr>
            <w:tcW w:w="2682"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区师陶杯论文评选三等奖</w:t>
            </w:r>
          </w:p>
        </w:tc>
        <w:tc>
          <w:tcPr>
            <w:tcW w:w="1568"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新北区教师发展中心</w:t>
            </w:r>
          </w:p>
        </w:tc>
        <w:tc>
          <w:tcPr>
            <w:tcW w:w="129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2023.09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810"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刘桢</w:t>
            </w:r>
          </w:p>
        </w:tc>
        <w:tc>
          <w:tcPr>
            <w:tcW w:w="2344" w:type="dxa"/>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《大概念目标导向：双减背景下的小学古诗文教学探索》</w:t>
            </w:r>
          </w:p>
        </w:tc>
        <w:tc>
          <w:tcPr>
            <w:tcW w:w="2682"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区2023年入职新教师教育教学案例一等奖</w:t>
            </w:r>
          </w:p>
        </w:tc>
        <w:tc>
          <w:tcPr>
            <w:tcW w:w="1568"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新北区教师发展中心</w:t>
            </w:r>
          </w:p>
        </w:tc>
        <w:tc>
          <w:tcPr>
            <w:tcW w:w="129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2024.06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810"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巢肖琴</w:t>
            </w:r>
          </w:p>
        </w:tc>
        <w:tc>
          <w:tcPr>
            <w:tcW w:w="234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《奇妙的阅读之旅》</w:t>
            </w:r>
          </w:p>
        </w:tc>
        <w:tc>
          <w:tcPr>
            <w:tcW w:w="2682"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第十六届全国小学教学特色设计（教研论文）大赛一等奖</w:t>
            </w:r>
          </w:p>
        </w:tc>
        <w:tc>
          <w:tcPr>
            <w:tcW w:w="1568"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全国小学教学特色设计大赛组委会、《小学教学设计》编辑部</w:t>
            </w:r>
          </w:p>
        </w:tc>
        <w:tc>
          <w:tcPr>
            <w:tcW w:w="129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2023.10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810"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徐娴</w:t>
            </w:r>
          </w:p>
        </w:tc>
        <w:tc>
          <w:tcPr>
            <w:tcW w:w="234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《读写一体化视角下的教学设计研究》</w:t>
            </w:r>
          </w:p>
        </w:tc>
        <w:tc>
          <w:tcPr>
            <w:tcW w:w="2682"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区教科研论文评选一等奖</w:t>
            </w:r>
          </w:p>
        </w:tc>
        <w:tc>
          <w:tcPr>
            <w:tcW w:w="1568"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新北区教师发展中心</w:t>
            </w:r>
          </w:p>
        </w:tc>
        <w:tc>
          <w:tcPr>
            <w:tcW w:w="129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2024.02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trPr>
        <w:tc>
          <w:tcPr>
            <w:tcW w:w="810"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宦欢</w:t>
            </w:r>
          </w:p>
        </w:tc>
        <w:tc>
          <w:tcPr>
            <w:tcW w:w="234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《小学语文二年级写话教学策略研究》</w:t>
            </w:r>
          </w:p>
        </w:tc>
        <w:tc>
          <w:tcPr>
            <w:tcW w:w="2682"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区教科研论文评选二等奖</w:t>
            </w:r>
          </w:p>
        </w:tc>
        <w:tc>
          <w:tcPr>
            <w:tcW w:w="1568"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新北区教师发展中心</w:t>
            </w:r>
          </w:p>
        </w:tc>
        <w:tc>
          <w:tcPr>
            <w:tcW w:w="1294" w:type="dxa"/>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val="en-US" w:eastAsia="zh-CN" w:bidi="ar"/>
              </w:rPr>
              <w:t>2024.02</w:t>
            </w:r>
          </w:p>
        </w:tc>
      </w:tr>
    </w:tbl>
    <w:p>
      <w:pPr>
        <w:pStyle w:val="2"/>
        <w:keepNext w:val="0"/>
        <w:keepLines w:val="0"/>
        <w:pageBreakBefore w:val="0"/>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Times New Roman" w:hAnsi="Times New Roman"/>
          <w:kern w:val="2"/>
          <w:sz w:val="24"/>
          <w:szCs w:val="24"/>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225" w:beforeAutospacing="0" w:after="225" w:afterAutospacing="0" w:line="360" w:lineRule="auto"/>
        <w:contextualSpacing/>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四、项目组下一阶段研究计划（2024.7—2025.6）</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contextualSpacing/>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根据第一阶段研究的进展情况，下一阶段将着力从以下几个方面入手：</w:t>
      </w:r>
    </w:p>
    <w:p>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225" w:beforeAutospacing="0" w:after="225" w:afterAutospacing="0" w:line="360" w:lineRule="auto"/>
        <w:contextualSpacing/>
        <w:jc w:val="left"/>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坚持理论学习与专家指导。</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有计划地推荐相关主题的最新论著，丰富对本课题的认识。坚持邀请专家引领，扎实推进各项研究工作的开展。</w:t>
      </w:r>
    </w:p>
    <w:p>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225" w:beforeAutospacing="0" w:after="225" w:afterAutospacing="0" w:line="360" w:lineRule="auto"/>
        <w:ind w:left="0" w:leftChars="0" w:firstLine="0" w:firstLineChars="0"/>
        <w:contextualSpacing/>
        <w:jc w:val="left"/>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继续实践探索。</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ind w:leftChars="0" w:firstLine="480" w:firstLineChars="200"/>
        <w:contextualSpacing/>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下一阶段探索的重点是：</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1.在单元阅读与习作教学中找到读写相融的点，设计出适切的单元学习任务群与具体方案（包括预习单的设计、读写转化的教学设计，课后拓展作业单设计等）。</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2.梳理提炼不同任务群单元读写一体化教学的实施路径；建构起不同任务群单元读写一体化的学习策略。形成具有推广价值的典型研究课例。同时开展读写一体化视角下单元整体教学评价的研究。</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jc w:val="left"/>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3.以单元整体读写一体化教学为目标，构建单元整体教学评价的基本框架和指标体系，在学生学习的全过程中建立量化的、可操作的习作过程评价细则。</w:t>
      </w:r>
    </w:p>
    <w:p>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225" w:beforeAutospacing="0" w:after="225" w:afterAutospacing="0" w:line="360" w:lineRule="auto"/>
        <w:ind w:left="0" w:leftChars="0" w:firstLine="0" w:firstLineChars="0"/>
        <w:contextualSpacing/>
        <w:jc w:val="left"/>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及时进行总结梳理。</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ind w:leftChars="0" w:firstLine="480" w:firstLineChars="200"/>
        <w:contextualSpacing/>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注意研究成果的积累：关注师生成果的整理、课题组成员积极撰写课题相关的论文、适时进行资源库的更新与补充等。</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25" w:beforeAutospacing="0" w:after="225" w:afterAutospacing="0" w:line="360" w:lineRule="auto"/>
        <w:ind w:firstLine="480" w:firstLineChars="200"/>
        <w:contextualSpacing/>
        <w:jc w:val="left"/>
        <w:textAlignment w:val="auto"/>
        <w:rPr>
          <w:rFonts w:hint="eastAsia" w:ascii="宋体" w:hAnsi="宋体" w:cs="Times New Roman"/>
          <w:color w:val="auto"/>
          <w:sz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107509"/>
    <w:multiLevelType w:val="singleLevel"/>
    <w:tmpl w:val="6F1075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ZTU3NTU0M2VjNWZjMTk5ZDc3NGY2M2ViM2EyNzcifQ=="/>
  </w:docVars>
  <w:rsids>
    <w:rsidRoot w:val="30D61A30"/>
    <w:rsid w:val="02B349AE"/>
    <w:rsid w:val="05AB660C"/>
    <w:rsid w:val="14B25531"/>
    <w:rsid w:val="16D85850"/>
    <w:rsid w:val="19A151F0"/>
    <w:rsid w:val="221C378B"/>
    <w:rsid w:val="26B3018D"/>
    <w:rsid w:val="2734328E"/>
    <w:rsid w:val="2A6870D2"/>
    <w:rsid w:val="30D61A30"/>
    <w:rsid w:val="39251F51"/>
    <w:rsid w:val="47A422A5"/>
    <w:rsid w:val="4FCB582E"/>
    <w:rsid w:val="52C02D12"/>
    <w:rsid w:val="56097AB5"/>
    <w:rsid w:val="58C96771"/>
    <w:rsid w:val="58DE4F80"/>
    <w:rsid w:val="6C8253E1"/>
    <w:rsid w:val="6DD614AB"/>
    <w:rsid w:val="7C3E0898"/>
    <w:rsid w:val="7DD26F2F"/>
    <w:rsid w:val="7EB72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2024-06-23T10:34:00Z</dcterms:created>
  <dc:creator>芮雯</dc:creator>
  <cp:lastModifiedBy>谢攀</cp:lastModifiedBy>
  <dcterms:modified xsi:type="dcterms:W3CDTF">2024-06-25T00:56:28Z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E3D9D76B1E8147E7AD1B0BA9F3300B60_11</vt:lpwstr>
  </property>
</Properties>
</file>