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数学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给春天的信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做一样的标记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中班幼儿已经对图形有一定的了解，认识了很多基本图形，幼儿也能够通过观察发现图形的颜色、形状、大小等特征，但是对于发现并概括一组图形的相同点对于幼儿来说有一定的难度。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能够找出图形的相同点，并用特征标记做记录。</w:t>
      </w:r>
    </w:p>
    <w:p>
      <w:pPr>
        <w:pStyle w:val="40"/>
        <w:jc w:val="center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丁沐晞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沈沐晨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李沐冉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李雨菲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王艺瑾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徐梓皓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鞠雨恒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万煜铂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陶栀夏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王艺凝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邓淼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丁雅琦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曹铭轩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高翌涵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沈奕恺</w:t>
      </w:r>
      <w:r>
        <w:rPr>
          <w:rFonts w:hint="default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4"/>
          <w:szCs w:val="24"/>
          <w:u w:val="single"/>
          <w:lang w:val="en-US" w:eastAsia="zh-CN" w:bidi="ar-SA"/>
        </w:rPr>
        <w:t>刘政凯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能用特征标记做记录。</w:t>
      </w:r>
    </w:p>
    <w:p>
      <w:pPr>
        <w:pStyle w:val="40"/>
        <w:numPr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土豆牛肉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鱼香茄子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小青菜木耳山药汤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翡翠烧卖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苹果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巨蜂葡萄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吃了两碗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L. 想</cp:lastModifiedBy>
  <cp:lastPrinted>2023-06-26T18:10:00Z</cp:lastPrinted>
  <dcterms:modified xsi:type="dcterms:W3CDTF">2024-06-11T13:30:04Z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