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24"/>
        </w:rPr>
      </w:pPr>
      <w:r>
        <w:rPr>
          <w:rFonts w:hint="eastAsia" w:eastAsia="黑体"/>
          <w:sz w:val="44"/>
        </w:rPr>
        <w:t>南塘桥小学</w:t>
      </w:r>
      <w:r>
        <w:rPr>
          <w:rFonts w:hint="eastAsia" w:eastAsia="黑体"/>
          <w:sz w:val="44"/>
          <w:lang w:val="en-US" w:eastAsia="zh-CN"/>
        </w:rPr>
        <w:t>教科研工作</w:t>
      </w:r>
      <w:r>
        <w:rPr>
          <w:rFonts w:hint="eastAsia" w:eastAsia="黑体"/>
          <w:sz w:val="44"/>
        </w:rPr>
        <w:t>会议记录</w:t>
      </w:r>
    </w:p>
    <w:tbl>
      <w:tblPr>
        <w:tblStyle w:val="7"/>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813"/>
        <w:gridCol w:w="3398"/>
        <w:gridCol w:w="1416"/>
        <w:gridCol w:w="23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wBefore w:w="0" w:type="dxa"/>
          <w:wAfter w:w="0" w:type="dxa"/>
          <w:trHeight w:val="600" w:hRule="atLeast"/>
          <w:jc w:val="center"/>
        </w:trPr>
        <w:tc>
          <w:tcPr>
            <w:tcW w:w="1815" w:type="dxa"/>
            <w:tcBorders>
              <w:top w:val="single" w:color="auto" w:sz="12" w:space="0"/>
              <w:left w:val="single" w:color="auto" w:sz="12"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时</w:t>
            </w:r>
            <w:r>
              <w:rPr>
                <w:rFonts w:eastAsia="仿宋_GB2312"/>
                <w:sz w:val="24"/>
              </w:rPr>
              <w:t xml:space="preserve">    </w:t>
            </w:r>
            <w:r>
              <w:rPr>
                <w:rFonts w:hint="eastAsia" w:eastAsia="仿宋_GB2312"/>
                <w:sz w:val="24"/>
              </w:rPr>
              <w:t>间</w:t>
            </w:r>
          </w:p>
        </w:tc>
        <w:tc>
          <w:tcPr>
            <w:tcW w:w="3402"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202</w:t>
            </w:r>
            <w:r>
              <w:rPr>
                <w:rFonts w:hint="default" w:eastAsia="仿宋_GB2312"/>
                <w:sz w:val="24"/>
                <w:lang w:eastAsia="zh-CN"/>
              </w:rPr>
              <w:t>2</w:t>
            </w:r>
            <w:r>
              <w:rPr>
                <w:rFonts w:hint="eastAsia" w:eastAsia="仿宋_GB2312"/>
                <w:sz w:val="24"/>
                <w:lang w:val="en-US" w:eastAsia="zh-CN"/>
              </w:rPr>
              <w:t>.</w:t>
            </w:r>
            <w:r>
              <w:rPr>
                <w:rFonts w:hint="default" w:eastAsia="仿宋_GB2312"/>
                <w:sz w:val="24"/>
                <w:lang w:eastAsia="zh-CN"/>
              </w:rPr>
              <w:t>3</w:t>
            </w:r>
            <w:r>
              <w:rPr>
                <w:rFonts w:hint="eastAsia" w:eastAsia="仿宋_GB2312"/>
                <w:sz w:val="24"/>
                <w:lang w:val="en-US" w:eastAsia="zh-CN"/>
              </w:rPr>
              <w:t>.</w:t>
            </w:r>
            <w:r>
              <w:rPr>
                <w:rFonts w:hint="default" w:eastAsia="仿宋_GB2312"/>
                <w:sz w:val="24"/>
                <w:lang w:eastAsia="zh-CN"/>
              </w:rPr>
              <w:t>2</w:t>
            </w:r>
          </w:p>
        </w:tc>
        <w:tc>
          <w:tcPr>
            <w:tcW w:w="1418" w:type="dxa"/>
            <w:tcBorders>
              <w:top w:val="single" w:color="auto" w:sz="12"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地</w:t>
            </w:r>
            <w:r>
              <w:rPr>
                <w:rFonts w:eastAsia="仿宋_GB2312"/>
                <w:sz w:val="24"/>
              </w:rPr>
              <w:t xml:space="preserve">    </w:t>
            </w:r>
            <w:r>
              <w:rPr>
                <w:rFonts w:hint="eastAsia" w:eastAsia="仿宋_GB2312"/>
                <w:sz w:val="24"/>
              </w:rPr>
              <w:t>点</w:t>
            </w:r>
          </w:p>
        </w:tc>
        <w:tc>
          <w:tcPr>
            <w:tcW w:w="2380" w:type="dxa"/>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eastAsia="仿宋_GB2312"/>
                <w:sz w:val="24"/>
                <w:lang w:val="en-US" w:eastAsia="zh-Hans"/>
              </w:rPr>
            </w:pPr>
            <w:r>
              <w:rPr>
                <w:rFonts w:hint="eastAsia" w:eastAsia="仿宋_GB2312"/>
                <w:sz w:val="24"/>
                <w:lang w:val="en-US" w:eastAsia="zh-Hans"/>
              </w:rPr>
              <w:t>录播教室</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wBefore w:w="0" w:type="dxa"/>
          <w:wAfter w:w="0" w:type="dxa"/>
          <w:trHeight w:val="600" w:hRule="atLeast"/>
          <w:jc w:val="center"/>
        </w:trPr>
        <w:tc>
          <w:tcPr>
            <w:tcW w:w="1815"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参加人员</w:t>
            </w:r>
          </w:p>
        </w:tc>
        <w:tc>
          <w:tcPr>
            <w:tcW w:w="7200" w:type="dxa"/>
            <w:gridSpan w:val="3"/>
            <w:tcBorders>
              <w:top w:val="single" w:color="auto" w:sz="4" w:space="0"/>
              <w:left w:val="single" w:color="auto" w:sz="4" w:space="0"/>
              <w:bottom w:val="single" w:color="auto" w:sz="4" w:space="0"/>
              <w:right w:val="single" w:color="auto" w:sz="12" w:space="0"/>
            </w:tcBorders>
            <w:noWrap w:val="0"/>
            <w:vAlign w:val="center"/>
          </w:tcPr>
          <w:p>
            <w:pPr>
              <w:rPr>
                <w:rFonts w:hint="default" w:eastAsia="仿宋_GB2312"/>
                <w:sz w:val="24"/>
                <w:lang w:val="en-US" w:eastAsia="zh-CN"/>
              </w:rPr>
            </w:pPr>
            <w:r>
              <w:rPr>
                <w:rFonts w:hint="eastAsia" w:eastAsia="仿宋_GB2312"/>
                <w:sz w:val="24"/>
              </w:rPr>
              <w:t xml:space="preserve">       </w:t>
            </w:r>
            <w:r>
              <w:rPr>
                <w:rFonts w:hint="eastAsia" w:eastAsia="仿宋_GB2312"/>
                <w:sz w:val="24"/>
                <w:lang w:val="en-US" w:eastAsia="zh-CN"/>
              </w:rPr>
              <w:t>全体数学教师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wBefore w:w="0" w:type="dxa"/>
          <w:wAfter w:w="0" w:type="dxa"/>
          <w:trHeight w:val="600" w:hRule="atLeast"/>
          <w:jc w:val="center"/>
        </w:trPr>
        <w:tc>
          <w:tcPr>
            <w:tcW w:w="1815"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主</w:t>
            </w:r>
            <w:r>
              <w:rPr>
                <w:rFonts w:eastAsia="仿宋_GB2312"/>
                <w:sz w:val="24"/>
              </w:rPr>
              <w:t xml:space="preserve"> </w:t>
            </w:r>
            <w:r>
              <w:rPr>
                <w:rFonts w:hint="eastAsia" w:eastAsia="仿宋_GB2312"/>
                <w:sz w:val="24"/>
              </w:rPr>
              <w:t>持</w:t>
            </w:r>
            <w:r>
              <w:rPr>
                <w:rFonts w:eastAsia="仿宋_GB2312"/>
                <w:sz w:val="24"/>
              </w:rPr>
              <w:t xml:space="preserve"> </w:t>
            </w:r>
            <w:r>
              <w:rPr>
                <w:rFonts w:hint="eastAsia" w:eastAsia="仿宋_GB2312"/>
                <w:sz w:val="24"/>
              </w:rPr>
              <w:t>人</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梁燕</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记</w:t>
            </w:r>
            <w:r>
              <w:rPr>
                <w:rFonts w:eastAsia="仿宋_GB2312"/>
                <w:sz w:val="24"/>
              </w:rPr>
              <w:t xml:space="preserve"> </w:t>
            </w:r>
            <w:r>
              <w:rPr>
                <w:rFonts w:hint="eastAsia" w:eastAsia="仿宋_GB2312"/>
                <w:sz w:val="24"/>
              </w:rPr>
              <w:t>录</w:t>
            </w:r>
            <w:r>
              <w:rPr>
                <w:rFonts w:eastAsia="仿宋_GB2312"/>
                <w:sz w:val="24"/>
              </w:rPr>
              <w:t xml:space="preserve"> </w:t>
            </w:r>
            <w:r>
              <w:rPr>
                <w:rFonts w:hint="eastAsia" w:eastAsia="仿宋_GB2312"/>
                <w:sz w:val="24"/>
              </w:rPr>
              <w:t>人</w:t>
            </w:r>
          </w:p>
        </w:tc>
        <w:tc>
          <w:tcPr>
            <w:tcW w:w="2380" w:type="dxa"/>
            <w:tcBorders>
              <w:top w:val="single" w:color="auto" w:sz="4" w:space="0"/>
              <w:left w:val="single" w:color="auto" w:sz="4" w:space="0"/>
              <w:bottom w:val="single" w:color="auto" w:sz="4" w:space="0"/>
              <w:right w:val="single" w:color="auto" w:sz="12" w:space="0"/>
            </w:tcBorders>
            <w:noWrap w:val="0"/>
            <w:vAlign w:val="center"/>
          </w:tcPr>
          <w:p>
            <w:pPr>
              <w:rPr>
                <w:rFonts w:hint="default" w:eastAsia="仿宋_GB2312"/>
                <w:sz w:val="24"/>
                <w:lang w:val="en-US" w:eastAsia="zh-CN"/>
              </w:rPr>
            </w:pPr>
            <w:r>
              <w:rPr>
                <w:rFonts w:hint="eastAsia" w:eastAsia="仿宋_GB2312"/>
                <w:sz w:val="24"/>
              </w:rPr>
              <w:t xml:space="preserve">  </w:t>
            </w:r>
            <w:r>
              <w:rPr>
                <w:rFonts w:hint="eastAsia" w:eastAsia="仿宋_GB2312"/>
                <w:sz w:val="24"/>
                <w:lang w:val="en-US" w:eastAsia="zh-CN"/>
              </w:rPr>
              <w:t xml:space="preserve">   梁燕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wBefore w:w="0" w:type="dxa"/>
          <w:wAfter w:w="0" w:type="dxa"/>
          <w:trHeight w:val="600" w:hRule="atLeast"/>
          <w:jc w:val="center"/>
        </w:trPr>
        <w:tc>
          <w:tcPr>
            <w:tcW w:w="181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活动主题</w:t>
            </w:r>
          </w:p>
        </w:tc>
        <w:tc>
          <w:tcPr>
            <w:tcW w:w="7200" w:type="dxa"/>
            <w:gridSpan w:val="3"/>
            <w:tcBorders>
              <w:top w:val="single" w:color="auto" w:sz="4" w:space="0"/>
              <w:left w:val="single" w:color="auto" w:sz="4" w:space="0"/>
              <w:bottom w:val="single" w:color="auto" w:sz="4" w:space="0"/>
              <w:right w:val="single" w:color="auto" w:sz="12" w:space="0"/>
            </w:tcBorders>
            <w:noWrap w:val="0"/>
            <w:vAlign w:val="center"/>
          </w:tcPr>
          <w:p>
            <w:pPr>
              <w:rPr>
                <w:rFonts w:hint="eastAsia" w:eastAsia="仿宋_GB2312"/>
                <w:sz w:val="24"/>
                <w:lang w:eastAsia="zh-Hans"/>
              </w:rPr>
            </w:pPr>
            <w:r>
              <w:rPr>
                <w:rFonts w:hint="eastAsia" w:ascii="Times New Roman" w:hAnsi="Times New Roman" w:eastAsia="仿宋_GB2312" w:cs="Times New Roman"/>
                <w:sz w:val="24"/>
                <w:lang w:val="en-US" w:eastAsia="zh-Hans"/>
              </w:rPr>
              <w:t>基于深度学习理念建构小学数学学习共同体的实践研究</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六年级解决问题的策略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wBefore w:w="0" w:type="dxa"/>
          <w:wAfter w:w="0" w:type="dxa"/>
          <w:trHeight w:val="9178" w:hRule="atLeast"/>
          <w:jc w:val="center"/>
        </w:trPr>
        <w:tc>
          <w:tcPr>
            <w:tcW w:w="9015" w:type="dxa"/>
            <w:gridSpan w:val="4"/>
            <w:tcBorders>
              <w:top w:val="single" w:color="auto" w:sz="4" w:space="0"/>
              <w:left w:val="single" w:color="auto" w:sz="12" w:space="0"/>
              <w:bottom w:val="single" w:color="auto" w:sz="12" w:space="0"/>
              <w:right w:val="single" w:color="auto" w:sz="12" w:space="0"/>
            </w:tcBorders>
            <w:noWrap w:val="0"/>
            <w:vAlign w:val="top"/>
          </w:tcPr>
          <w:p>
            <w:pPr>
              <w:numPr>
                <w:ilvl w:val="0"/>
                <w:numId w:val="0"/>
              </w:numPr>
              <w:spacing w:line="360" w:lineRule="auto"/>
              <w:ind w:leftChars="0"/>
              <w:rPr>
                <w:rFonts w:hint="default" w:ascii="Times New Roman" w:hAnsi="Times New Roman" w:eastAsia="仿宋_GB2312" w:cs="Times New Roman"/>
                <w:sz w:val="24"/>
                <w:lang w:eastAsia="zh-Hans"/>
              </w:rPr>
            </w:pPr>
            <w:r>
              <w:rPr>
                <w:rFonts w:hint="eastAsia" w:ascii="Times New Roman" w:hAnsi="Times New Roman" w:eastAsia="仿宋_GB2312" w:cs="Times New Roman"/>
                <w:sz w:val="24"/>
                <w:lang w:val="en-US" w:eastAsia="zh-Hans"/>
              </w:rPr>
              <w:t>吴霄锋</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本节课通过学习使学生进一步积累解决问题的策略增强学生运用知识的能力</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教学过程中引导学生主动探究</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独立思考为主</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让学生在学习的过程中继续积累解决问题的经验</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获得成功的喜悦</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从而提高学习的兴趣</w:t>
            </w:r>
            <w:r>
              <w:rPr>
                <w:rFonts w:hint="default" w:ascii="Times New Roman" w:hAnsi="Times New Roman" w:eastAsia="仿宋_GB2312" w:cs="Times New Roman"/>
                <w:sz w:val="24"/>
                <w:lang w:eastAsia="zh-Hans"/>
              </w:rPr>
              <w:t>。</w:t>
            </w:r>
          </w:p>
          <w:p>
            <w:pPr>
              <w:numPr>
                <w:ilvl w:val="0"/>
                <w:numId w:val="0"/>
              </w:numPr>
              <w:spacing w:line="360" w:lineRule="auto"/>
              <w:ind w:leftChars="0"/>
              <w:rPr>
                <w:rFonts w:hint="default" w:ascii="Times New Roman" w:hAnsi="Times New Roman" w:eastAsia="仿宋_GB2312" w:cs="Times New Roman"/>
                <w:sz w:val="24"/>
                <w:lang w:eastAsia="zh-Hans"/>
              </w:rPr>
            </w:pPr>
          </w:p>
          <w:p>
            <w:pPr>
              <w:numPr>
                <w:ilvl w:val="0"/>
                <w:numId w:val="0"/>
              </w:numPr>
              <w:spacing w:line="360" w:lineRule="auto"/>
              <w:ind w:leftChars="0"/>
              <w:rPr>
                <w:rFonts w:hint="default" w:ascii="Times New Roman" w:hAnsi="Times New Roman" w:eastAsia="仿宋_GB2312" w:cs="Times New Roman"/>
                <w:sz w:val="24"/>
                <w:lang w:eastAsia="zh-Hans"/>
              </w:rPr>
            </w:pPr>
            <w:r>
              <w:rPr>
                <w:rFonts w:hint="eastAsia" w:ascii="Times New Roman" w:hAnsi="Times New Roman" w:eastAsia="仿宋_GB2312" w:cs="Times New Roman"/>
                <w:sz w:val="24"/>
                <w:lang w:val="en-US" w:eastAsia="zh-Hans"/>
              </w:rPr>
              <w:t>唐玉善</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吴老师让孩子先解释自己的想法</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然后全班交流</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学生都能抓住关键句子“男生使总人数的</w:t>
            </w:r>
            <m:oMath>
              <m:f>
                <m:fPr>
                  <m:ctrlPr>
                    <w:rPr>
                      <w:rFonts w:ascii="Cambria Math" w:hAnsi="Cambria Math" w:cs="Times New Roman"/>
                      <w:i/>
                      <w:sz w:val="24"/>
                      <w:lang w:val="en-US"/>
                    </w:rPr>
                  </m:ctrlPr>
                </m:fPr>
                <m:num>
                  <m:r>
                    <m:rPr/>
                    <w:rPr>
                      <w:rFonts w:ascii="Cambria Math" w:hAnsi="Cambria Math" w:cs="Times New Roman"/>
                      <w:sz w:val="24"/>
                      <w:lang w:val="en-US"/>
                    </w:rPr>
                    <m:t>2</m:t>
                  </m:r>
                  <m:ctrlPr>
                    <w:rPr>
                      <w:rFonts w:ascii="Cambria Math" w:hAnsi="Cambria Math" w:cs="Times New Roman"/>
                      <w:i/>
                      <w:sz w:val="24"/>
                      <w:lang w:val="en-US"/>
                    </w:rPr>
                  </m:ctrlPr>
                </m:num>
                <m:den>
                  <m:r>
                    <m:rPr/>
                    <w:rPr>
                      <w:rFonts w:ascii="Cambria Math" w:hAnsi="Cambria Math" w:cs="Times New Roman"/>
                      <w:sz w:val="24"/>
                      <w:lang w:val="en-US"/>
                    </w:rPr>
                    <m:t>5</m:t>
                  </m:r>
                  <m:ctrlPr>
                    <w:rPr>
                      <w:rFonts w:ascii="Cambria Math" w:hAnsi="Cambria Math" w:cs="Times New Roman"/>
                      <w:i/>
                      <w:sz w:val="24"/>
                      <w:lang w:val="en-US"/>
                    </w:rPr>
                  </m:ctrlPr>
                </m:den>
              </m:f>
            </m:oMath>
            <w:r>
              <w:rPr>
                <w:rFonts w:hint="eastAsia" w:ascii="Times New Roman" w:hAnsi="Times New Roman" w:eastAsia="仿宋_GB2312" w:cs="Times New Roman"/>
                <w:sz w:val="24"/>
                <w:lang w:val="en-US" w:eastAsia="zh-Hans"/>
              </w:rPr>
              <w:t>”进行转化</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数量之间的关系理解起来的确有点难度</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更重要的是让学生将提出的几种解题方法进行比较</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从而感受到</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将一些条件适当转化</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会使解决问题方法变得简单</w:t>
            </w:r>
            <w:r>
              <w:rPr>
                <w:rFonts w:hint="default" w:ascii="Times New Roman" w:hAnsi="Times New Roman" w:eastAsia="仿宋_GB2312" w:cs="Times New Roman"/>
                <w:sz w:val="24"/>
                <w:lang w:eastAsia="zh-Hans"/>
              </w:rPr>
              <w:t>。</w:t>
            </w:r>
          </w:p>
          <w:p>
            <w:pPr>
              <w:numPr>
                <w:ilvl w:val="0"/>
                <w:numId w:val="0"/>
              </w:numPr>
              <w:spacing w:line="360" w:lineRule="auto"/>
              <w:ind w:leftChars="0"/>
              <w:rPr>
                <w:rFonts w:hint="default" w:ascii="Times New Roman" w:hAnsi="Times New Roman" w:eastAsia="仿宋_GB2312" w:cs="Times New Roman"/>
                <w:sz w:val="24"/>
                <w:lang w:eastAsia="zh-Hans"/>
              </w:rPr>
            </w:pPr>
          </w:p>
          <w:p>
            <w:pPr>
              <w:numPr>
                <w:ilvl w:val="0"/>
                <w:numId w:val="0"/>
              </w:numPr>
              <w:spacing w:line="360" w:lineRule="auto"/>
              <w:ind w:leftChars="0"/>
              <w:rPr>
                <w:rFonts w:hint="default" w:ascii="Times New Roman" w:hAnsi="Times New Roman" w:eastAsia="仿宋_GB2312" w:cs="Times New Roman"/>
                <w:sz w:val="24"/>
                <w:lang w:eastAsia="zh-Hans"/>
              </w:rPr>
            </w:pPr>
            <w:r>
              <w:rPr>
                <w:rFonts w:hint="eastAsia" w:ascii="Times New Roman" w:hAnsi="Times New Roman" w:eastAsia="仿宋_GB2312" w:cs="Times New Roman"/>
                <w:sz w:val="24"/>
                <w:lang w:val="en-US" w:eastAsia="zh-Hans"/>
              </w:rPr>
              <w:t>居晓丹</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吴老师以学生为本</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让学生运用自己喜欢的解决问题的策略来解决生活中的实际问题</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然后通过比较这些解题方法</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让学生感受到合理选择解决问题的重要性</w:t>
            </w:r>
            <w:r>
              <w:rPr>
                <w:rFonts w:hint="default" w:ascii="Times New Roman" w:hAnsi="Times New Roman" w:eastAsia="仿宋_GB2312" w:cs="Times New Roman"/>
                <w:sz w:val="24"/>
                <w:lang w:eastAsia="zh-Hans"/>
              </w:rPr>
              <w:t>。</w:t>
            </w:r>
          </w:p>
          <w:p>
            <w:pPr>
              <w:numPr>
                <w:ilvl w:val="0"/>
                <w:numId w:val="0"/>
              </w:numPr>
              <w:spacing w:line="360" w:lineRule="auto"/>
              <w:ind w:leftChars="0"/>
              <w:rPr>
                <w:rFonts w:hint="default" w:ascii="Times New Roman" w:hAnsi="Times New Roman" w:eastAsia="仿宋_GB2312" w:cs="Times New Roman"/>
                <w:sz w:val="24"/>
                <w:lang w:eastAsia="zh-Hans"/>
              </w:rPr>
            </w:pPr>
          </w:p>
          <w:p>
            <w:pPr>
              <w:numPr>
                <w:ilvl w:val="0"/>
                <w:numId w:val="0"/>
              </w:numPr>
              <w:spacing w:line="360" w:lineRule="auto"/>
              <w:ind w:leftChars="0"/>
              <w:rPr>
                <w:rFonts w:hint="eastAsia" w:eastAsia="仿宋_GB2312"/>
                <w:sz w:val="24"/>
                <w:lang w:eastAsia="zh-CN"/>
              </w:rPr>
            </w:pPr>
            <w:r>
              <w:rPr>
                <w:rFonts w:hint="eastAsia" w:ascii="Times New Roman" w:hAnsi="Times New Roman" w:eastAsia="仿宋_GB2312" w:cs="Times New Roman"/>
                <w:sz w:val="24"/>
                <w:lang w:val="en-US" w:eastAsia="zh-Hans"/>
              </w:rPr>
              <w:t>李明明</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吴老师在本节解决问题课中</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一步步引导学生给出不同的方法解决同一个问题</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策略的学习关键在于“悟”</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也就是对策略的教学更强调让学生感悟和体验</w:t>
            </w:r>
            <w:r>
              <w:rPr>
                <w:rFonts w:hint="default" w:ascii="Times New Roman" w:hAnsi="Times New Roman" w:eastAsia="仿宋_GB2312" w:cs="Times New Roman"/>
                <w:sz w:val="24"/>
                <w:lang w:eastAsia="zh-Hans"/>
              </w:rPr>
              <w:t>，</w:t>
            </w:r>
            <w:r>
              <w:rPr>
                <w:rFonts w:hint="eastAsia" w:ascii="Times New Roman" w:hAnsi="Times New Roman" w:eastAsia="仿宋_GB2312" w:cs="Times New Roman"/>
                <w:sz w:val="24"/>
                <w:lang w:val="en-US" w:eastAsia="zh-Hans"/>
              </w:rPr>
              <w:t>只有真正的充分的感悟和体验才能实现对于策略的“悟”和“在内部萌生”</w:t>
            </w:r>
            <w:r>
              <w:rPr>
                <w:rFonts w:hint="default" w:ascii="Times New Roman" w:hAnsi="Times New Roman" w:eastAsia="仿宋_GB2312" w:cs="Times New Roman"/>
                <w:sz w:val="24"/>
                <w:lang w:eastAsia="zh-Hans"/>
              </w:rPr>
              <w:t>。</w:t>
            </w:r>
            <w:bookmarkStart w:id="0" w:name="_GoBack"/>
            <w:bookmarkEnd w:id="0"/>
          </w:p>
        </w:tc>
      </w:tr>
    </w:tbl>
    <w:p>
      <w:pPr>
        <w:rPr>
          <w:rFonts w:hint="eastAsia" w:eastAsia="黑体"/>
          <w:sz w:val="44"/>
          <w:u w:val="double"/>
          <w:lang w:eastAsia="zh-CN"/>
        </w:rPr>
      </w:pPr>
    </w:p>
    <w:sectPr>
      <w:headerReference r:id="rId3" w:type="default"/>
      <w:footerReference r:id="rId4" w:type="default"/>
      <w:footerReference r:id="rId5" w:type="even"/>
      <w:pgSz w:w="11906" w:h="16838"/>
      <w:pgMar w:top="1134" w:right="1134" w:bottom="1134" w:left="1134" w:header="567" w:footer="567" w:gutter="85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800002BF" w:usb1="38CF7CFA" w:usb2="00000016" w:usb3="00000000" w:csb0="00040001" w:csb1="00000000"/>
  </w:font>
  <w:font w:name="仿宋_GB2312">
    <w:altName w:val="方正仿宋_GBK"/>
    <w:panose1 w:val="00000000000000000000"/>
    <w:charset w:val="00"/>
    <w:family w:val="roman"/>
    <w:pitch w:val="default"/>
    <w:sig w:usb0="00000001" w:usb1="080E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mbria Math">
    <w:altName w:val="Kingsoft Math"/>
    <w:panose1 w:val="00000000000000000000"/>
    <w:charset w:val="00"/>
    <w:family w:val="auto"/>
    <w:pitch w:val="default"/>
    <w:sig w:usb0="00000000" w:usb1="00000000" w:usb2="00000000" w:usb3="00000000" w:csb0="00000000" w:csb1="00000000"/>
  </w:font>
  <w:font w:name="Kingsoft Math">
    <w:panose1 w:val="02040503050406030204"/>
    <w:charset w:val="00"/>
    <w:family w:val="auto"/>
    <w:pitch w:val="default"/>
    <w:sig w:usb0="80000087" w:usb1="00002068" w:usb2="00000000" w:usb3="00000000" w:csb0="2000019F"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lang/>
      </w:rPr>
      <w:t>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B7"/>
    <w:rsid w:val="00020BF3"/>
    <w:rsid w:val="000335D2"/>
    <w:rsid w:val="00055D10"/>
    <w:rsid w:val="0007179B"/>
    <w:rsid w:val="000C00CD"/>
    <w:rsid w:val="000D18AF"/>
    <w:rsid w:val="000D2066"/>
    <w:rsid w:val="000E05E7"/>
    <w:rsid w:val="000F04FC"/>
    <w:rsid w:val="0014075C"/>
    <w:rsid w:val="0018137E"/>
    <w:rsid w:val="0019766A"/>
    <w:rsid w:val="001C6552"/>
    <w:rsid w:val="001C7CC4"/>
    <w:rsid w:val="0020687A"/>
    <w:rsid w:val="00242484"/>
    <w:rsid w:val="002E1A3A"/>
    <w:rsid w:val="002E6A35"/>
    <w:rsid w:val="00305AD8"/>
    <w:rsid w:val="003111B4"/>
    <w:rsid w:val="00323D47"/>
    <w:rsid w:val="003D693F"/>
    <w:rsid w:val="00410698"/>
    <w:rsid w:val="00417B3D"/>
    <w:rsid w:val="00431BFE"/>
    <w:rsid w:val="004661D0"/>
    <w:rsid w:val="0047175B"/>
    <w:rsid w:val="0048785B"/>
    <w:rsid w:val="004A0853"/>
    <w:rsid w:val="004B0FC4"/>
    <w:rsid w:val="004D417A"/>
    <w:rsid w:val="004E17EA"/>
    <w:rsid w:val="004E5476"/>
    <w:rsid w:val="005105D2"/>
    <w:rsid w:val="005512CE"/>
    <w:rsid w:val="0055292A"/>
    <w:rsid w:val="005718B0"/>
    <w:rsid w:val="005B3486"/>
    <w:rsid w:val="005C4838"/>
    <w:rsid w:val="005D2A3A"/>
    <w:rsid w:val="00633CF0"/>
    <w:rsid w:val="00681B2E"/>
    <w:rsid w:val="006B2B39"/>
    <w:rsid w:val="006B4A67"/>
    <w:rsid w:val="006B788E"/>
    <w:rsid w:val="006C162B"/>
    <w:rsid w:val="006D25D7"/>
    <w:rsid w:val="006D37D9"/>
    <w:rsid w:val="00747354"/>
    <w:rsid w:val="00764792"/>
    <w:rsid w:val="00771472"/>
    <w:rsid w:val="00774453"/>
    <w:rsid w:val="00781495"/>
    <w:rsid w:val="0079270B"/>
    <w:rsid w:val="007A2460"/>
    <w:rsid w:val="007C266B"/>
    <w:rsid w:val="007F7C7F"/>
    <w:rsid w:val="008169C5"/>
    <w:rsid w:val="00825452"/>
    <w:rsid w:val="00844687"/>
    <w:rsid w:val="008C0777"/>
    <w:rsid w:val="008E120E"/>
    <w:rsid w:val="00930666"/>
    <w:rsid w:val="00937949"/>
    <w:rsid w:val="0095303D"/>
    <w:rsid w:val="009D5B4C"/>
    <w:rsid w:val="009F12D1"/>
    <w:rsid w:val="009F3E9A"/>
    <w:rsid w:val="00A267AE"/>
    <w:rsid w:val="00A71B7D"/>
    <w:rsid w:val="00A97284"/>
    <w:rsid w:val="00AB6F2F"/>
    <w:rsid w:val="00AD19D3"/>
    <w:rsid w:val="00AD1BF1"/>
    <w:rsid w:val="00AD6825"/>
    <w:rsid w:val="00AF408F"/>
    <w:rsid w:val="00B44674"/>
    <w:rsid w:val="00B52F31"/>
    <w:rsid w:val="00B73750"/>
    <w:rsid w:val="00B75DAF"/>
    <w:rsid w:val="00B93F25"/>
    <w:rsid w:val="00BC03A0"/>
    <w:rsid w:val="00BD0616"/>
    <w:rsid w:val="00C00956"/>
    <w:rsid w:val="00C15FF3"/>
    <w:rsid w:val="00C21BC0"/>
    <w:rsid w:val="00C41F11"/>
    <w:rsid w:val="00C43969"/>
    <w:rsid w:val="00C67A06"/>
    <w:rsid w:val="00C77FDE"/>
    <w:rsid w:val="00CA2CF3"/>
    <w:rsid w:val="00CC0A1C"/>
    <w:rsid w:val="00D07890"/>
    <w:rsid w:val="00D2108D"/>
    <w:rsid w:val="00D370EC"/>
    <w:rsid w:val="00D37A98"/>
    <w:rsid w:val="00D70AD8"/>
    <w:rsid w:val="00D816E2"/>
    <w:rsid w:val="00DA42AA"/>
    <w:rsid w:val="00DC0CA1"/>
    <w:rsid w:val="00DC540F"/>
    <w:rsid w:val="00DE3463"/>
    <w:rsid w:val="00E01A99"/>
    <w:rsid w:val="00E208CF"/>
    <w:rsid w:val="00E279B2"/>
    <w:rsid w:val="00E42389"/>
    <w:rsid w:val="00E43BD1"/>
    <w:rsid w:val="00E46524"/>
    <w:rsid w:val="00E51DC2"/>
    <w:rsid w:val="00E664B8"/>
    <w:rsid w:val="00E801B7"/>
    <w:rsid w:val="00E92611"/>
    <w:rsid w:val="00EB24D4"/>
    <w:rsid w:val="00EC19FF"/>
    <w:rsid w:val="00ED4F32"/>
    <w:rsid w:val="00EF0183"/>
    <w:rsid w:val="00EF4AEE"/>
    <w:rsid w:val="00F233FF"/>
    <w:rsid w:val="00F33AED"/>
    <w:rsid w:val="00F44CA3"/>
    <w:rsid w:val="00FB3D7C"/>
    <w:rsid w:val="00FD1727"/>
    <w:rsid w:val="00FE06B5"/>
    <w:rsid w:val="00FF14C0"/>
    <w:rsid w:val="00FF3FEF"/>
    <w:rsid w:val="00FF6C9E"/>
    <w:rsid w:val="00FF7ADA"/>
    <w:rsid w:val="0AF14A14"/>
    <w:rsid w:val="31BA26E6"/>
    <w:rsid w:val="4FFBD7D9"/>
    <w:rsid w:val="539F0619"/>
    <w:rsid w:val="7FA7C1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www.Luobo.cc</Company>
  <Pages>3</Pages>
  <Words>18</Words>
  <Characters>108</Characters>
  <Lines>1</Lines>
  <Paragraphs>1</Paragraphs>
  <TotalTime>1431655765</TotalTime>
  <ScaleCrop>false</ScaleCrop>
  <LinksUpToDate>false</LinksUpToDate>
  <CharactersWithSpaces>125</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2018-05-02T23:21:00Z</dcterms:created>
  <dc:creator>萝卜家园</dc:creator>
  <cp:lastModifiedBy>liangyan</cp:lastModifiedBy>
  <cp:lastPrinted>2009-12-16T22:23:00Z</cp:lastPrinted>
  <dcterms:modified xsi:type="dcterms:W3CDTF">2022-03-03T10:07:42Z</dcterms:modified>
  <dc:title>《就地取材 盘活课程资源 有效使用小学教材的研究》课题组实施阶段会议记录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y fmtid="{D5CDD505-2E9C-101B-9397-08002B2CF9AE}" pid="3" name="ICV">
    <vt:lpwstr>E1F2CBEDFC4A4024A22303356795172A</vt:lpwstr>
  </property>
</Properties>
</file>