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lang w:val="en-US" w:eastAsia="zh-CN"/>
        </w:rPr>
      </w:pPr>
      <w:bookmarkStart w:id="0" w:name="_GoBack"/>
      <w:r>
        <w:rPr>
          <w:rFonts w:hint="eastAsia" w:ascii="黑体" w:hAnsi="黑体" w:eastAsia="黑体" w:cs="黑体"/>
          <w:b/>
          <w:bCs/>
          <w:sz w:val="28"/>
          <w:szCs w:val="28"/>
          <w:lang w:val="en-US" w:eastAsia="zh-CN"/>
        </w:rPr>
        <w:t>2月理论学习和反思</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一、理论学习：</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5507990" cy="7441565"/>
            <wp:effectExtent l="0" t="0" r="3810"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07990" cy="7441565"/>
                    </a:xfrm>
                    <a:prstGeom prst="rect">
                      <a:avLst/>
                    </a:prstGeom>
                    <a:noFill/>
                    <a:ln w="9525">
                      <a:noFill/>
                    </a:ln>
                  </pic:spPr>
                </pic:pic>
              </a:graphicData>
            </a:graphic>
          </wp:inline>
        </w:drawing>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numPr>
          <w:ilvl w:val="0"/>
          <w:numId w:val="1"/>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反思：</w:t>
      </w:r>
    </w:p>
    <w:p>
      <w:pPr>
        <w:numPr>
          <w:numId w:val="0"/>
        </w:numPr>
        <w:spacing w:line="360" w:lineRule="auto"/>
        <w:ind w:firstLine="480" w:firstLineChars="200"/>
        <w:rPr>
          <w:rFonts w:ascii="宋体" w:hAnsi="宋体" w:eastAsia="宋体" w:cs="宋体"/>
          <w:sz w:val="24"/>
          <w:szCs w:val="24"/>
        </w:rPr>
      </w:pPr>
      <w:r>
        <w:rPr>
          <w:rFonts w:ascii="宋体" w:hAnsi="宋体" w:eastAsia="宋体" w:cs="宋体"/>
          <w:sz w:val="24"/>
          <w:szCs w:val="24"/>
        </w:rPr>
        <w:t>小学数学的研究性学习正是要引导学生去发现他所未知的问题,通过数学手段来解决问题，且能用数学解决问题的策略迁移到其它问题的解决上。</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数学课程标准》中提出“学生的数学学习内容应当是现实的、有意义的、富有挑战性的,这些内容要有利于学生主动的进行观察、实验、猜测、验证、推理与交流等数学活动。”要让学生亲身经历将实际问题抽象成数学模型并进行解释与应用的过程,进而时学生获得对数学理解的同时,在思维能力、情感态度与价值观等多方面得到进步和发展。</w:t>
      </w:r>
    </w:p>
    <w:p>
      <w:pPr>
        <w:numPr>
          <w:numId w:val="0"/>
        </w:numPr>
        <w:spacing w:line="360" w:lineRule="auto"/>
        <w:ind w:firstLine="480" w:firstLineChars="200"/>
        <w:rPr>
          <w:rFonts w:hint="default" w:ascii="宋体" w:hAnsi="宋体" w:eastAsia="宋体" w:cs="宋体"/>
          <w:sz w:val="24"/>
          <w:szCs w:val="24"/>
          <w:lang w:val="en-US" w:eastAsia="zh-CN"/>
        </w:rPr>
      </w:pPr>
      <w:r>
        <w:rPr>
          <w:rFonts w:ascii="宋体" w:hAnsi="宋体" w:eastAsia="宋体" w:cs="宋体"/>
          <w:sz w:val="24"/>
          <w:szCs w:val="24"/>
        </w:rPr>
        <w:t>在教学过程中,我们的教师重在让学生根据定义、公式照搬照套</w:t>
      </w:r>
      <w:r>
        <w:rPr>
          <w:rFonts w:hint="eastAsia" w:ascii="宋体" w:hAnsi="宋体" w:eastAsia="宋体" w:cs="宋体"/>
          <w:sz w:val="24"/>
          <w:szCs w:val="24"/>
          <w:lang w:eastAsia="zh-CN"/>
        </w:rPr>
        <w:t>，</w:t>
      </w:r>
      <w:r>
        <w:rPr>
          <w:rFonts w:ascii="宋体" w:hAnsi="宋体" w:eastAsia="宋体" w:cs="宋体"/>
          <w:sz w:val="24"/>
          <w:szCs w:val="24"/>
        </w:rPr>
        <w:t>机械运用,学生只知其然,不知其所以然。在这种机械、被动的学习方式中,我们的学生对知识的探究能力、创造能力,被教师不经意的注入式教学扼杀了。他们对数学学习越来越不感兴趣,还怎么能更深入地进行创新呢?在小学数学中进行研究性学习,是改变这一现状的有效途径和方法。</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26C1F"/>
    <w:multiLevelType w:val="singleLevel"/>
    <w:tmpl w:val="D0E26C1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WEyMzg1Y2I3Y2RiMTJlNzJjZTQ4M2IyY2ZjM2QifQ=="/>
  </w:docVars>
  <w:rsids>
    <w:rsidRoot w:val="75623F94"/>
    <w:rsid w:val="75623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2024-06-26T05:51:00Z</dcterms:created>
  <dc:creator>森海北屿°</dc:creator>
  <cp:lastModifiedBy>森海北屿°</cp:lastModifiedBy>
  <dcterms:modified xsi:type="dcterms:W3CDTF">2024-06-26T05:58:28Z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214FB0C7A32E4AA09DC671C23C8B2E87_11</vt:lpwstr>
  </property>
</Properties>
</file>