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b/>
          <w:bCs/>
          <w:i w:val="0"/>
          <w:iCs w:val="0"/>
          <w:color w:val="1A1A1A"/>
          <w:spacing w:val="0"/>
          <w:w w:val="100"/>
          <w:sz w:val="36"/>
          <w:szCs w:val="36"/>
          <w:vertAlign w:val="baseline"/>
        </w:rPr>
        <w:t>虹景小学2023学年第二学期第十七周工作安排</w:t>
      </w:r>
    </w:p>
    <w:tbl>
      <w:tblPr>
        <w:tblpPr w:leftFromText="180" w:rightFromText="180" w:vertAnchor="text" w:horzAnchor="page" w:tblpXSpec="center" w:tblpY="723"/>
        <w:tblOverlap w:val="never"/>
        <w:tblW w:w="9938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8"/>
        <w:gridCol w:w="864"/>
        <w:gridCol w:w="2502"/>
        <w:gridCol w:w="1709"/>
        <w:gridCol w:w="1954"/>
        <w:gridCol w:w="885"/>
        <w:gridCol w:w="806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日期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时间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工作内容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参加对象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地点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负责人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微推/简讯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星期一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6月10日</w:t>
            </w:r>
          </w:p>
        </w:tc>
        <w:tc>
          <w:tcPr>
            <w:tcW w:w="8720" w:type="dxa"/>
            <w:gridSpan w:val="6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520" w:firstLineChars="160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端午放假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星期二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6月11日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8:20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天宁区智慧教学创新实践活动周（语文专场一）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语文骨干教师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常州市局前街小学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谢红英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13:20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天宁区智慧教学创新实践活动周（语文专场二）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各语文骨干教师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常州市解放路小学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谢红英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13:00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数学备课组活动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数学教师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各办公室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张守杰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12:25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虹景“子午书简”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全体师生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各班教室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谢红英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218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星期三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6月12日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9:25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语文备课组活动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（复习计划研讨）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语文教师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各办公室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谢红英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星期四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6月13日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8:20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天宁区智慧教学创新实验活动周（音乐专场）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音乐骨干教师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红梅实验小学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赵宁波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12:25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虹景“子午书简”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全体师生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各班教室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谢红英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13：30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英语备课组活动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（复习计划研讨）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英语教师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英语办公室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黄蕾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13：00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常州市小学综合实践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教研活动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相关教师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 w:firstLine="220" w:firstLineChars="100"/>
              <w:jc w:val="center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钟楼区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外国语学校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高卫超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星期五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6月14日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8:20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天宁区智慧教学创新实验活动周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（教学评价专场）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相关教师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常州市第二实验小学翰学校区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张守杰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8:20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天宁、新北小学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美术联合教研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美术教师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飞龙实验小学综合楼二楼录播室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滑山荣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132" w:type="dxa"/>
            <w:gridSpan w:val="6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left"/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教师发展部：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60" w:beforeAutospacing="0" w:after="60" w:afterAutospacing="0" w:line="240" w:lineRule="auto"/>
              <w:ind w:left="0" w:right="0"/>
              <w:jc w:val="left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完成2024年全市中小学进校园课外读物推荐工作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60" w:beforeAutospacing="0" w:after="60" w:afterAutospacing="0" w:line="240" w:lineRule="auto"/>
              <w:ind w:left="0" w:leftChars="0" w:right="0" w:rightChars="0" w:firstLine="0" w:firstLineChars="0"/>
              <w:jc w:val="left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完成读物排查清理工作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60" w:beforeAutospacing="0" w:after="60" w:afterAutospacing="0" w:line="240" w:lineRule="auto"/>
              <w:ind w:leftChars="0" w:right="0" w:rightChars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3.做好毕业考试考务工作， 6月15日（星期六）毕业考试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课程开发部：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筹备区教科研研讨展示活动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学生发展部：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加强班级常规管理</w:t>
            </w: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2.组织完成”臻美班级”申报评选工作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left"/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后勤保障部: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60" w:beforeAutospacing="0" w:after="60" w:afterAutospacing="0" w:line="240" w:lineRule="auto"/>
              <w:ind w:left="0" w:right="0"/>
              <w:jc w:val="left"/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完成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暑期维修的准备工作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60" w:beforeAutospacing="0" w:after="60" w:afterAutospacing="0" w:line="240" w:lineRule="auto"/>
              <w:ind w:right="0" w:rightChars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2.开展2024年全区教育系统安全生产月的活动</w:t>
            </w:r>
          </w:p>
          <w:p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60" w:beforeAutospacing="0" w:after="60" w:afterAutospacing="0" w:line="240" w:lineRule="auto"/>
              <w:ind w:right="0" w:righ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3.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开展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安全教育平台“防溺水”专题学习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b/>
                <w:bCs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人力资源部：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完成教师转正定级的材料审核工作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5E8D0"/>
    <w:multiLevelType w:val="singleLevel"/>
    <w:tmpl w:val="0975E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1F07C1"/>
    <w:multiLevelType w:val="singleLevel"/>
    <w:tmpl w:val="251F07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EE77B5"/>
    <w:multiLevelType w:val="singleLevel"/>
    <w:tmpl w:val="67EE77B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DU4OGVhZWEwNjhhNDE5ZDEwZmM4YWQ3YTQyMjUifQ=="/>
  </w:docVars>
  <w:rsids>
    <w:rsidRoot w:val="540E1EBA"/>
    <w:rsid w:val="540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2024-06-11T00:32:00Z</dcterms:created>
  <dc:creator>大江东去</dc:creator>
  <cp:lastModifiedBy>大江东去</cp:lastModifiedBy>
  <dcterms:modified xsi:type="dcterms:W3CDTF">2024-06-11T00:42:20Z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8E76D2F9C38A476790F62595B4AD634D_11</vt:lpwstr>
  </property>
</Properties>
</file>