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20" w:firstLineChars="11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4月理论学习</w:t>
      </w:r>
    </w:p>
    <w:p>
      <w:pPr>
        <w:rPr>
          <w:rFonts w:hint="eastAsia"/>
          <w:lang w:val="en-US" w:eastAsia="zh-CN"/>
        </w:rPr>
      </w:pPr>
      <w:r>
        <w:rPr>
          <w:rFonts w:hint="eastAsia"/>
          <w:lang w:val="en-US" w:eastAsia="zh-CN"/>
        </w:rPr>
        <w:t>【题目】《具身认知视角下互联网数学实验室支持的数学实验教学设计》</w:t>
      </w:r>
    </w:p>
    <w:p>
      <w:pPr>
        <w:rPr>
          <w:rFonts w:hint="eastAsia"/>
          <w:lang w:val="en-US" w:eastAsia="zh-CN"/>
        </w:rPr>
      </w:pPr>
      <w:r>
        <w:rPr>
          <w:rFonts w:hint="eastAsia"/>
          <w:lang w:val="en-US" w:eastAsia="zh-CN"/>
        </w:rPr>
        <w:t>【作者】张铮,杜东燕等</w:t>
      </w:r>
    </w:p>
    <w:p>
      <w:pPr>
        <w:rPr>
          <w:rFonts w:hint="eastAsia"/>
          <w:lang w:val="en-US" w:eastAsia="zh-CN"/>
        </w:rPr>
      </w:pPr>
      <w:r>
        <w:rPr>
          <w:rFonts w:hint="eastAsia"/>
          <w:lang w:val="en-US" w:eastAsia="zh-CN"/>
        </w:rPr>
        <w:t>【学习内容】</w:t>
      </w:r>
    </w:p>
    <w:p>
      <w:pPr>
        <w:widowControl w:val="0"/>
        <w:numPr>
          <w:ilvl w:val="0"/>
          <w:numId w:val="0"/>
        </w:numPr>
        <w:jc w:val="both"/>
        <w:rPr>
          <w:rFonts w:hint="default"/>
          <w:lang w:val="en-US" w:eastAsia="zh-CN"/>
        </w:rPr>
      </w:pPr>
      <w:r>
        <w:rPr>
          <w:rFonts w:hint="default"/>
          <w:lang w:val="en-US" w:eastAsia="zh-CN"/>
        </w:rPr>
        <w:t>数学实验教学模式设计</w:t>
      </w:r>
    </w:p>
    <w:p>
      <w:pPr>
        <w:widowControl w:val="0"/>
        <w:numPr>
          <w:ilvl w:val="0"/>
          <w:numId w:val="0"/>
        </w:numPr>
        <w:ind w:firstLine="420" w:firstLineChars="200"/>
        <w:jc w:val="both"/>
        <w:rPr>
          <w:rFonts w:hint="default"/>
          <w:lang w:val="en-US" w:eastAsia="zh-CN"/>
        </w:rPr>
      </w:pPr>
      <w:r>
        <w:rPr>
          <w:rFonts w:hint="default"/>
          <w:lang w:val="en-US" w:eastAsia="zh-CN"/>
        </w:rPr>
        <w:t>本研究从具身认知的视角出发，调动学生全身心地投入学习过程，通过直观、具体的方式减轻学生认知负担，促进知识的深层建构。结合数学实验的流程，选择将互联网数学实验室作为教学过程的技术支持工具，设计出如下页图1所示的具身认知视角下互联网数学实验室支持的数学实验教学模式。 </w:t>
      </w:r>
    </w:p>
    <w:p>
      <w:pPr>
        <w:widowControl w:val="0"/>
        <w:numPr>
          <w:ilvl w:val="0"/>
          <w:numId w:val="0"/>
        </w:numPr>
        <w:ind w:firstLine="420" w:firstLineChars="200"/>
        <w:jc w:val="both"/>
        <w:rPr>
          <w:rFonts w:hint="default"/>
          <w:lang w:val="en-US" w:eastAsia="zh-CN"/>
        </w:rPr>
      </w:pPr>
      <w:r>
        <w:rPr>
          <w:rFonts w:hint="default"/>
          <w:lang w:val="en-US" w:eastAsia="zh-CN"/>
        </w:rPr>
        <w:t>该模式主要分为分析准备阶段以及教学实施阶段两个部分。分析准备阶段是对教学活动过程的整体设计，结合学情、数学知识以及数学实验的相关要素对数学实验进行设计。教学实施阶段是该教学模式的主要部分，其目的是实现从“学”数学到“做”数学、被动到主动、离身到具身的转变。</w:t>
      </w:r>
    </w:p>
    <w:p>
      <w:pPr>
        <w:widowControl w:val="0"/>
        <w:numPr>
          <w:ilvl w:val="0"/>
          <w:numId w:val="0"/>
        </w:numPr>
        <w:jc w:val="both"/>
        <w:rPr>
          <w:rFonts w:hint="default"/>
          <w:lang w:val="en-US" w:eastAsia="zh-CN"/>
        </w:rPr>
      </w:pPr>
      <w:r>
        <w:rPr>
          <w:rFonts w:hint="default"/>
          <w:lang w:val="en-US" w:eastAsia="zh-CN"/>
        </w:rPr>
        <w:t>（1）分析准备阶段 </w:t>
      </w:r>
    </w:p>
    <w:p>
      <w:pPr>
        <w:widowControl w:val="0"/>
        <w:numPr>
          <w:ilvl w:val="0"/>
          <w:numId w:val="0"/>
        </w:numPr>
        <w:ind w:firstLine="420" w:firstLineChars="200"/>
        <w:jc w:val="both"/>
        <w:rPr>
          <w:rFonts w:hint="default"/>
          <w:lang w:val="en-US" w:eastAsia="zh-CN"/>
        </w:rPr>
      </w:pPr>
      <w:r>
        <w:rPr>
          <w:rFonts w:hint="default"/>
          <w:lang w:val="en-US" w:eastAsia="zh-CN"/>
        </w:rPr>
        <w:t>该阶段主要完成教学的分析和数学实验的设计等任务。课前，教师根据学生的学习情况、学习内容以及学习者的需要等内容明确本节课的实验主题以及目的，做好课前的合理规划。在确定实验目的时，将数学知识、网络画板的应用以及数学核心素养三者相融合以促进学生对知识的深层理解。除了考虑对数学实验流程的设计，还需准备教学实施过程中需要的实验工具以及移动设备等，并要考虑学生在进行数学实验时可能出现的各种情况，确保教学过程的顺利实施。在实验完成后，教师通过反思对实验过程进行修改完善，为下一次实验教学做准备。 </w:t>
      </w:r>
    </w:p>
    <w:p>
      <w:pPr>
        <w:widowControl w:val="0"/>
        <w:numPr>
          <w:ilvl w:val="0"/>
          <w:numId w:val="0"/>
        </w:numPr>
        <w:jc w:val="both"/>
        <w:rPr>
          <w:rFonts w:hint="default"/>
          <w:lang w:val="en-US" w:eastAsia="zh-CN"/>
        </w:rPr>
      </w:pPr>
      <w:r>
        <w:rPr>
          <w:rFonts w:hint="default"/>
          <w:lang w:val="en-US" w:eastAsia="zh-CN"/>
        </w:rPr>
        <w:t>（2）教学实施阶段 </w:t>
      </w:r>
    </w:p>
    <w:p>
      <w:pPr>
        <w:widowControl w:val="0"/>
        <w:numPr>
          <w:ilvl w:val="0"/>
          <w:numId w:val="0"/>
        </w:numPr>
        <w:ind w:firstLine="420" w:firstLineChars="200"/>
        <w:jc w:val="both"/>
        <w:rPr>
          <w:rFonts w:hint="default"/>
          <w:lang w:val="en-US" w:eastAsia="zh-CN"/>
        </w:rPr>
      </w:pPr>
      <w:r>
        <w:rPr>
          <w:rFonts w:hint="default"/>
          <w:lang w:val="en-US" w:eastAsia="zh-CN"/>
        </w:rPr>
        <w:t>教学实施过程作为教学设计的核心部分，对教学效果具有决定性的作用。依据具身认知理论的情境性，教师首先创设教学情境激发学生的学习兴趣。以此为基础，教师对知识点进行初步讲解，学生对概念形成初步认识，整体感知本节课的教学内容。学生在教师的引导下通过具身认知过程建构对知识的理解和感性认识。经历具身认知过程，学生顺利解决问题并掌握知识。最后，教师从知识、能力以及核心素养三个方面引导学生进行总结以及自我反思。</w:t>
      </w:r>
    </w:p>
    <w:p>
      <w:pPr>
        <w:widowControl w:val="0"/>
        <w:numPr>
          <w:ilvl w:val="0"/>
          <w:numId w:val="0"/>
        </w:numPr>
        <w:jc w:val="both"/>
        <w:rPr>
          <w:rFonts w:hint="default"/>
          <w:lang w:val="en-US" w:eastAsia="zh-CN"/>
        </w:rPr>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4702175" cy="2874010"/>
            <wp:effectExtent l="0" t="0" r="3175" b="2540"/>
            <wp:docPr id="7"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IMG_256"/>
                    <pic:cNvPicPr>
                      <a:picLocks noChangeAspect="1"/>
                    </pic:cNvPicPr>
                  </pic:nvPicPr>
                  <pic:blipFill>
                    <a:blip r:embed="rId4"/>
                    <a:stretch>
                      <a:fillRect/>
                    </a:stretch>
                  </pic:blipFill>
                  <pic:spPr>
                    <a:xfrm>
                      <a:off x="0" y="0"/>
                      <a:ext cx="4702175" cy="2874010"/>
                    </a:xfrm>
                    <a:prstGeom prst="rect">
                      <a:avLst/>
                    </a:prstGeom>
                    <a:noFill/>
                    <a:ln w="9525">
                      <a:noFill/>
                    </a:ln>
                  </pic:spPr>
                </pic:pic>
              </a:graphicData>
            </a:graphic>
          </wp:inline>
        </w:drawing>
      </w:r>
    </w:p>
    <w:p>
      <w:pPr>
        <w:widowControl w:val="0"/>
        <w:numPr>
          <w:ilvl w:val="0"/>
          <w:numId w:val="0"/>
        </w:numPr>
        <w:jc w:val="both"/>
        <w:rPr>
          <w:rFonts w:hint="default"/>
          <w:lang w:val="en-US" w:eastAsia="zh-CN"/>
        </w:rPr>
      </w:pPr>
    </w:p>
    <w:p>
      <w:pPr>
        <w:rPr>
          <w:rFonts w:hint="eastAsia"/>
          <w:lang w:val="en-US" w:eastAsia="zh-CN"/>
        </w:rPr>
      </w:pPr>
      <w:r>
        <w:rPr>
          <w:rFonts w:hint="eastAsia"/>
          <w:lang w:val="en-US" w:eastAsia="zh-CN"/>
        </w:rPr>
        <w:t>数学实验具身认知过程设计</w:t>
      </w:r>
    </w:p>
    <w:p>
      <w:pPr>
        <w:ind w:firstLine="420" w:firstLineChars="200"/>
        <w:rPr>
          <w:rFonts w:hint="eastAsia"/>
          <w:lang w:val="en-US" w:eastAsia="zh-CN"/>
        </w:rPr>
      </w:pPr>
      <w:r>
        <w:rPr>
          <w:rFonts w:hint="eastAsia"/>
          <w:lang w:val="en-US" w:eastAsia="zh-CN"/>
        </w:rPr>
        <w:t>互联网数学实验室支持的具身数学实验教学的核心是学生的具身认知过程，本研究根据具身认知的三个层次以及不同类型，结合高中数学核心素养，对学生的具身认知过程进行进一步的设计（如图2）。该过程以高中数学的核心素养为导向，将教学内容、数学实验以及具身认知过程三者紧密联系，教师将教学内容融入数学实验，以促进学生物理具身过程的发生。除此之外，具身认知过程也融合了具身认知数学实验的三个层次。首先是具身环境，包括学生进行数学实验过程中的物理实体和教学过程中与学生进行互动的关系两部分；其次是具身操作，是指学生动手操作实验工具，借助实验工具完成具身性的体验，抽象的数学知识变得更加可视化和具体化，帮助学生进行探究性的学习；最后是在教师的引导下对数学实验中呈现的知识进行分析总结，完成具身建构。学生调动多种感官，通过眼、手、脑相互配合的具身活动获取知识，从而形成对数学知识的深刻感悟和体会。 </w:t>
      </w:r>
    </w:p>
    <w:p>
      <w:pPr>
        <w:ind w:firstLine="420" w:firstLineChars="200"/>
        <w:rPr>
          <w:rFonts w:hint="eastAsia"/>
          <w:lang w:val="en-US" w:eastAsia="zh-CN"/>
        </w:rPr>
      </w:pPr>
      <w:r>
        <w:rPr>
          <w:rFonts w:hint="eastAsia"/>
          <w:lang w:val="en-US" w:eastAsia="zh-CN"/>
        </w:rPr>
        <w:t>学生在完成数学实验后，经历具身认知过程中的物理具身层次，随着知识的不断内化和理解，学生能够通过情境具身和想象具身，达到掌握知识的程度。</w:t>
      </w:r>
    </w:p>
    <w:p>
      <w:pPr>
        <w:rPr>
          <w:rFonts w:hint="eastAsia"/>
          <w:lang w:val="en-US" w:eastAsia="zh-CN"/>
        </w:rPr>
      </w:pPr>
      <w:r>
        <w:rPr>
          <w:rFonts w:hint="eastAsia" w:ascii="Microsoft YaHei UI" w:hAnsi="Microsoft YaHei UI" w:eastAsia="Microsoft YaHei UI" w:cs="Microsoft YaHei UI"/>
          <w:i w:val="0"/>
          <w:iCs w:val="0"/>
          <w:caps w:val="0"/>
          <w:spacing w:val="8"/>
          <w:kern w:val="0"/>
          <w:sz w:val="24"/>
          <w:szCs w:val="24"/>
          <w:shd w:val="clear" w:fill="FFFFFF"/>
          <w:lang w:val="en-US" w:eastAsia="zh-CN" w:bidi="ar"/>
        </w:rPr>
        <w:drawing>
          <wp:inline distT="0" distB="0" distL="114300" distR="114300">
            <wp:extent cx="4867275" cy="2766060"/>
            <wp:effectExtent l="0" t="0" r="9525" b="15240"/>
            <wp:docPr id="5" name="图片 6"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57"/>
                    <pic:cNvPicPr>
                      <a:picLocks noChangeAspect="1"/>
                    </pic:cNvPicPr>
                  </pic:nvPicPr>
                  <pic:blipFill>
                    <a:blip r:embed="rId5"/>
                    <a:stretch>
                      <a:fillRect/>
                    </a:stretch>
                  </pic:blipFill>
                  <pic:spPr>
                    <a:xfrm>
                      <a:off x="0" y="0"/>
                      <a:ext cx="4867275" cy="2766060"/>
                    </a:xfrm>
                    <a:prstGeom prst="rect">
                      <a:avLst/>
                    </a:prstGeom>
                    <a:noFill/>
                    <a:ln w="9525">
                      <a:noFill/>
                    </a:ln>
                  </pic:spPr>
                </pic:pic>
              </a:graphicData>
            </a:graphic>
          </wp:inline>
        </w:drawing>
      </w:r>
    </w:p>
    <w:p>
      <w:pPr>
        <w:rPr>
          <w:rFonts w:hint="eastAsia"/>
          <w:lang w:val="en-US" w:eastAsia="zh-CN"/>
        </w:rPr>
      </w:pPr>
    </w:p>
    <w:p>
      <w:pPr>
        <w:rPr>
          <w:rFonts w:hint="eastAsia"/>
          <w:lang w:val="en-US" w:eastAsia="zh-CN"/>
        </w:rPr>
      </w:pPr>
      <w:r>
        <w:rPr>
          <w:rFonts w:hint="eastAsia"/>
          <w:lang w:val="en-US" w:eastAsia="zh-CN"/>
        </w:rPr>
        <w:t>【学习反思】</w:t>
      </w:r>
    </w:p>
    <w:p>
      <w:pPr>
        <w:ind w:firstLine="420"/>
        <w:rPr>
          <w:rFonts w:hint="default"/>
          <w:lang w:val="en-US" w:eastAsia="zh-CN"/>
        </w:rPr>
      </w:pPr>
      <w:r>
        <w:rPr>
          <w:rFonts w:hint="eastAsia"/>
          <w:lang w:val="en-US" w:eastAsia="zh-CN"/>
        </w:rPr>
        <w:t>本学期，我选择了数学动手做——</w:t>
      </w:r>
      <w:r>
        <w:rPr>
          <w:rFonts w:hint="default"/>
          <w:lang w:val="en-US" w:eastAsia="zh-CN"/>
        </w:rPr>
        <w:t>“有趣的平衡”</w:t>
      </w:r>
      <w:r>
        <w:rPr>
          <w:rFonts w:hint="eastAsia"/>
          <w:lang w:val="en-US" w:eastAsia="zh-CN"/>
        </w:rPr>
        <w:t>开展数学实验</w:t>
      </w:r>
      <w:r>
        <w:rPr>
          <w:rFonts w:hint="default"/>
          <w:lang w:val="en-US" w:eastAsia="zh-CN"/>
        </w:rPr>
        <w:t>，旨在引导学生在合作探究中，体会数学知识的价值，感悟数学与物理知识、科学技术和社会生活之间的联系，培养学生数据意识、应用意识和创新意识等核心素养。2022版课程标准第三学段内容要求指出：在活动中综合运用数学及其他学科知识解决问题，提高应用能力。学业要求第三学段也提到：能够积极参与活动，在活动中能独立思考问题，积累根据解决问题的需要，合理选择策略和方法的经验，形成模型意识与初步的应用意识和创新意识。</w:t>
      </w:r>
    </w:p>
    <w:p>
      <w:pPr>
        <w:ind w:firstLine="420"/>
        <w:rPr>
          <w:rFonts w:hint="default"/>
          <w:lang w:val="en-US" w:eastAsia="zh-CN"/>
        </w:rPr>
      </w:pPr>
      <w:r>
        <w:rPr>
          <w:rFonts w:hint="default"/>
          <w:lang w:val="en-US" w:eastAsia="zh-CN"/>
        </w:rPr>
        <w:t>学生在生活中积累了跷跷板、杆秤的生活经验。五年级科学课对有关“平衡”的内容已经有所了解，六年级下册掌握了比例知识的基础，运用数学的知识与方法再次对“平衡”的规律加以研究，有助于学生感悟数学知识之间、数学与其他学科知识之间、数学与社会生活之间的联系，积累数学活动经验，提高解决实际问题的能力。</w:t>
      </w:r>
    </w:p>
    <w:p>
      <w:pPr>
        <w:ind w:firstLine="420"/>
        <w:rPr>
          <w:rFonts w:hint="default"/>
          <w:lang w:val="en-US" w:eastAsia="zh-CN"/>
        </w:rPr>
      </w:pPr>
      <w:r>
        <w:rPr>
          <w:rFonts w:hint="default"/>
          <w:lang w:val="en-US" w:eastAsia="zh-CN"/>
        </w:rPr>
        <w:t>《有趣的平衡》这一</w:t>
      </w:r>
      <w:r>
        <w:rPr>
          <w:rFonts w:hint="eastAsia"/>
          <w:lang w:val="en-US" w:eastAsia="zh-CN"/>
        </w:rPr>
        <w:t>数学实验</w:t>
      </w:r>
      <w:r>
        <w:rPr>
          <w:rFonts w:hint="default"/>
          <w:lang w:val="en-US" w:eastAsia="zh-CN"/>
        </w:rPr>
        <w:t>为学生综合应用各学科知识创造了条件，学生在探究杠杆平衡原理的过程中，主动运用已有的知识经验，经历实验操作、独立思考、合作交流，产生深度的对话，有助于学生逐步养成用数学语言表达与交流的习惯，形成跨学科的应用意识与实践能力。</w:t>
      </w:r>
    </w:p>
    <w:p>
      <w:pPr>
        <w:ind w:firstLine="420"/>
        <w:rPr>
          <w:rFonts w:hint="eastAsia"/>
          <w:lang w:val="en-US" w:eastAsia="zh-CN"/>
        </w:rPr>
      </w:pPr>
      <w:r>
        <w:rPr>
          <w:rFonts w:hint="eastAsia"/>
          <w:lang w:val="en-US" w:eastAsia="zh-CN"/>
        </w:rPr>
        <w:t>实验目标：</w:t>
      </w:r>
    </w:p>
    <w:p>
      <w:pPr>
        <w:ind w:firstLine="420"/>
        <w:rPr>
          <w:rFonts w:hint="eastAsia"/>
          <w:lang w:val="en-US" w:eastAsia="zh-CN"/>
        </w:rPr>
      </w:pPr>
      <w:r>
        <w:rPr>
          <w:rFonts w:hint="eastAsia"/>
          <w:lang w:val="en-US" w:eastAsia="zh-CN"/>
        </w:rPr>
        <w:t>1.通过实验发现“左边的钩码数×刻度数=右边的钩码数×刻度数”这一规律，初步感受“杠杆原理”，加深对反比例关系的理解。</w:t>
      </w:r>
    </w:p>
    <w:p>
      <w:pPr>
        <w:ind w:firstLine="420"/>
        <w:rPr>
          <w:rFonts w:hint="eastAsia"/>
          <w:lang w:val="en-US" w:eastAsia="zh-CN"/>
        </w:rPr>
      </w:pPr>
      <w:r>
        <w:rPr>
          <w:rFonts w:hint="eastAsia"/>
          <w:lang w:val="en-US" w:eastAsia="zh-CN"/>
        </w:rPr>
        <w:t>2.经历探究杠杆原理的过程，积累数学活动经验，感受数学学科与其他学科的联系，能利用探究的规律解决现实生活中的问题，发展推理意识和应用意识。</w:t>
      </w:r>
    </w:p>
    <w:p>
      <w:pPr>
        <w:ind w:firstLine="420"/>
        <w:rPr>
          <w:rFonts w:hint="eastAsia"/>
          <w:lang w:val="en-US" w:eastAsia="zh-CN"/>
        </w:rPr>
      </w:pPr>
      <w:r>
        <w:rPr>
          <w:rFonts w:hint="eastAsia"/>
          <w:lang w:val="en-US" w:eastAsia="zh-CN"/>
        </w:rPr>
        <w:t>3.培养学生用数学的眼光看待身边生活现象的习惯，发展模型意识，体会数学的应用价值，提高学习数学的兴趣。</w:t>
      </w:r>
    </w:p>
    <w:p>
      <w:pPr>
        <w:ind w:firstLine="420"/>
        <w:rPr>
          <w:rFonts w:hint="eastAsia"/>
          <w:lang w:val="en-US" w:eastAsia="zh-CN"/>
        </w:rPr>
      </w:pPr>
      <w:r>
        <w:rPr>
          <w:rFonts w:hint="eastAsia"/>
          <w:lang w:val="en-US" w:eastAsia="zh-CN"/>
        </w:rPr>
        <w:t>实验设计：</w:t>
      </w:r>
    </w:p>
    <w:p>
      <w:pPr>
        <w:numPr>
          <w:numId w:val="0"/>
        </w:numPr>
        <w:ind w:firstLine="420" w:firstLineChars="200"/>
        <w:rPr>
          <w:rFonts w:hint="default"/>
          <w:lang w:val="en-US" w:eastAsia="zh-CN"/>
        </w:rPr>
      </w:pPr>
      <w:r>
        <w:rPr>
          <w:rFonts w:hint="eastAsia"/>
          <w:lang w:val="en-US" w:eastAsia="zh-CN"/>
        </w:rPr>
        <w:t>1.</w:t>
      </w:r>
      <w:r>
        <w:rPr>
          <w:rFonts w:hint="default"/>
          <w:lang w:val="en-US" w:eastAsia="zh-CN"/>
        </w:rPr>
        <w:t>探究重量相同的情况下平衡的规律。</w:t>
      </w:r>
    </w:p>
    <w:p>
      <w:pPr>
        <w:widowControl w:val="0"/>
        <w:numPr>
          <w:numId w:val="0"/>
        </w:numPr>
        <w:jc w:val="both"/>
        <w:rPr>
          <w:rFonts w:hint="default"/>
          <w:lang w:val="en-US" w:eastAsia="zh-CN"/>
        </w:rPr>
      </w:pPr>
      <w:r>
        <w:rPr>
          <w:rFonts w:ascii="宋体" w:hAnsi="宋体" w:eastAsia="宋体" w:cs="宋体"/>
          <w:sz w:val="24"/>
          <w:szCs w:val="24"/>
        </w:rPr>
        <w:drawing>
          <wp:anchor distT="0" distB="0" distL="114300" distR="114300" simplePos="0" relativeHeight="251660288" behindDoc="0" locked="0" layoutInCell="1" allowOverlap="1">
            <wp:simplePos x="0" y="0"/>
            <wp:positionH relativeFrom="column">
              <wp:posOffset>2593340</wp:posOffset>
            </wp:positionH>
            <wp:positionV relativeFrom="paragraph">
              <wp:posOffset>27305</wp:posOffset>
            </wp:positionV>
            <wp:extent cx="3477260" cy="2245995"/>
            <wp:effectExtent l="0" t="0" r="8890" b="1905"/>
            <wp:wrapNone/>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3477260" cy="2245995"/>
                    </a:xfrm>
                    <a:prstGeom prst="rect">
                      <a:avLst/>
                    </a:prstGeom>
                    <a:noFill/>
                    <a:ln w="9525">
                      <a:noFill/>
                    </a:ln>
                  </pic:spPr>
                </pic:pic>
              </a:graphicData>
            </a:graphic>
          </wp:anchor>
        </w:drawing>
      </w:r>
      <w:r>
        <w:rPr>
          <w:rFonts w:ascii="宋体" w:hAnsi="宋体" w:eastAsia="宋体" w:cs="宋体"/>
          <w:sz w:val="24"/>
          <w:szCs w:val="24"/>
        </w:rPr>
        <w:drawing>
          <wp:anchor distT="0" distB="0" distL="114300" distR="114300" simplePos="0" relativeHeight="251661312" behindDoc="0" locked="0" layoutInCell="1" allowOverlap="1">
            <wp:simplePos x="0" y="0"/>
            <wp:positionH relativeFrom="column">
              <wp:posOffset>-692150</wp:posOffset>
            </wp:positionH>
            <wp:positionV relativeFrom="paragraph">
              <wp:posOffset>52070</wp:posOffset>
            </wp:positionV>
            <wp:extent cx="3158490" cy="1478280"/>
            <wp:effectExtent l="0" t="0" r="3810" b="7620"/>
            <wp:wrapNone/>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7"/>
                    <a:stretch>
                      <a:fillRect/>
                    </a:stretch>
                  </pic:blipFill>
                  <pic:spPr>
                    <a:xfrm>
                      <a:off x="0" y="0"/>
                      <a:ext cx="3158490" cy="1478280"/>
                    </a:xfrm>
                    <a:prstGeom prst="rect">
                      <a:avLst/>
                    </a:prstGeom>
                    <a:noFill/>
                    <a:ln w="9525">
                      <a:noFill/>
                    </a:ln>
                  </pic:spPr>
                </pic:pic>
              </a:graphicData>
            </a:graphic>
          </wp:anchor>
        </w:drawing>
      </w:r>
    </w:p>
    <w:p>
      <w:pPr>
        <w:widowControl w:val="0"/>
        <w:numPr>
          <w:numId w:val="0"/>
        </w:numPr>
        <w:jc w:val="both"/>
        <w:rPr>
          <w:rFonts w:hint="default"/>
          <w:lang w:val="en-US" w:eastAsia="zh-CN"/>
        </w:rPr>
      </w:pPr>
    </w:p>
    <w:p>
      <w:pPr>
        <w:widowControl w:val="0"/>
        <w:numPr>
          <w:numId w:val="0"/>
        </w:numPr>
        <w:jc w:val="both"/>
        <w:rPr>
          <w:rFonts w:hint="default"/>
          <w:lang w:val="en-US" w:eastAsia="zh-CN"/>
        </w:rPr>
      </w:pPr>
    </w:p>
    <w:p>
      <w:pPr>
        <w:widowControl w:val="0"/>
        <w:numPr>
          <w:numId w:val="0"/>
        </w:numPr>
        <w:jc w:val="both"/>
        <w:rPr>
          <w:rFonts w:hint="default"/>
          <w:lang w:val="en-US" w:eastAsia="zh-CN"/>
        </w:rPr>
      </w:pPr>
    </w:p>
    <w:p>
      <w:pPr>
        <w:widowControl w:val="0"/>
        <w:numPr>
          <w:numId w:val="0"/>
        </w:numPr>
        <w:jc w:val="both"/>
        <w:rPr>
          <w:rFonts w:hint="default"/>
          <w:lang w:val="en-US" w:eastAsia="zh-CN"/>
        </w:rPr>
      </w:pPr>
    </w:p>
    <w:p>
      <w:pPr>
        <w:widowControl w:val="0"/>
        <w:numPr>
          <w:numId w:val="0"/>
        </w:numPr>
        <w:jc w:val="both"/>
        <w:rPr>
          <w:rFonts w:hint="default"/>
          <w:lang w:val="en-US" w:eastAsia="zh-CN"/>
        </w:rPr>
      </w:pPr>
    </w:p>
    <w:p>
      <w:pPr>
        <w:widowControl w:val="0"/>
        <w:numPr>
          <w:numId w:val="0"/>
        </w:numPr>
        <w:jc w:val="both"/>
        <w:rPr>
          <w:rFonts w:hint="default"/>
          <w:lang w:val="en-US" w:eastAsia="zh-CN"/>
        </w:rPr>
      </w:pPr>
    </w:p>
    <w:p>
      <w:pPr>
        <w:widowControl w:val="0"/>
        <w:numPr>
          <w:numId w:val="0"/>
        </w:numPr>
        <w:jc w:val="both"/>
        <w:rPr>
          <w:rFonts w:hint="default"/>
          <w:lang w:val="en-US" w:eastAsia="zh-CN"/>
        </w:rPr>
      </w:pPr>
    </w:p>
    <w:p>
      <w:pPr>
        <w:widowControl w:val="0"/>
        <w:numPr>
          <w:numId w:val="0"/>
        </w:numPr>
        <w:jc w:val="both"/>
        <w:rPr>
          <w:rFonts w:hint="default"/>
          <w:lang w:val="en-US" w:eastAsia="zh-CN"/>
        </w:rPr>
      </w:pPr>
    </w:p>
    <w:p>
      <w:pPr>
        <w:numPr>
          <w:numId w:val="0"/>
        </w:numPr>
        <w:rPr>
          <w:rFonts w:ascii="宋体" w:hAnsi="宋体" w:eastAsia="宋体" w:cs="宋体"/>
          <w:sz w:val="24"/>
          <w:szCs w:val="24"/>
        </w:rPr>
      </w:pPr>
    </w:p>
    <w:p>
      <w:pPr>
        <w:numPr>
          <w:numId w:val="0"/>
        </w:numPr>
        <w:rPr>
          <w:rFonts w:hint="default" w:ascii="宋体" w:hAnsi="宋体" w:eastAsia="宋体" w:cs="宋体"/>
          <w:sz w:val="24"/>
          <w:szCs w:val="24"/>
          <w:lang w:val="en-US" w:eastAsia="zh-CN"/>
        </w:rPr>
      </w:pPr>
    </w:p>
    <w:p>
      <w:pPr>
        <w:numPr>
          <w:numId w:val="0"/>
        </w:numPr>
        <w:rPr>
          <w:rFonts w:hint="default" w:ascii="宋体" w:hAnsi="宋体" w:eastAsia="宋体" w:cs="宋体"/>
          <w:sz w:val="24"/>
          <w:szCs w:val="24"/>
          <w:lang w:val="en-US" w:eastAsia="zh-CN"/>
        </w:rPr>
      </w:pPr>
    </w:p>
    <w:p>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两边钩码数相同、刻度数也相同，杠杆尺保持平衡。</w:t>
      </w:r>
    </w:p>
    <w:p>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师小结：左右两边重量、距离都相同，杠杆尺保持平衡。</w:t>
      </w:r>
    </w:p>
    <w:p>
      <w:pPr>
        <w:numPr>
          <w:ilvl w:val="0"/>
          <w:numId w:val="0"/>
        </w:numPr>
        <w:ind w:firstLine="420" w:firstLineChars="200"/>
        <w:rPr>
          <w:rFonts w:hint="default"/>
          <w:lang w:val="en-US" w:eastAsia="zh-CN"/>
        </w:rPr>
      </w:pPr>
      <w:r>
        <w:rPr>
          <w:rFonts w:hint="eastAsia"/>
          <w:lang w:val="en-US" w:eastAsia="zh-CN"/>
        </w:rPr>
        <w:t>2.</w:t>
      </w:r>
      <w:r>
        <w:rPr>
          <w:rFonts w:hint="default"/>
          <w:lang w:val="en-US" w:eastAsia="zh-CN"/>
        </w:rPr>
        <w:t>重量、距离不相同时，杠杆尺还能保持平衡吗？</w:t>
      </w:r>
    </w:p>
    <w:p>
      <w:pPr>
        <w:numPr>
          <w:numId w:val="0"/>
        </w:numPr>
        <w:rPr>
          <w:rFonts w:hint="default" w:ascii="宋体" w:hAnsi="宋体" w:eastAsia="宋体" w:cs="宋体"/>
          <w:sz w:val="21"/>
          <w:szCs w:val="21"/>
          <w:lang w:val="en-US" w:eastAsia="zh-CN"/>
        </w:rPr>
      </w:pPr>
      <w:r>
        <w:rPr>
          <w:rFonts w:ascii="宋体" w:hAnsi="宋体" w:eastAsia="宋体" w:cs="宋体"/>
          <w:sz w:val="24"/>
          <w:szCs w:val="24"/>
        </w:rPr>
        <w:drawing>
          <wp:anchor distT="0" distB="0" distL="114300" distR="114300" simplePos="0" relativeHeight="251659264" behindDoc="0" locked="0" layoutInCell="1" allowOverlap="1">
            <wp:simplePos x="0" y="0"/>
            <wp:positionH relativeFrom="column">
              <wp:posOffset>277495</wp:posOffset>
            </wp:positionH>
            <wp:positionV relativeFrom="paragraph">
              <wp:posOffset>64135</wp:posOffset>
            </wp:positionV>
            <wp:extent cx="3347085" cy="2161540"/>
            <wp:effectExtent l="0" t="0" r="5715" b="10160"/>
            <wp:wrapNone/>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3347085" cy="2161540"/>
                    </a:xfrm>
                    <a:prstGeom prst="rect">
                      <a:avLst/>
                    </a:prstGeom>
                    <a:noFill/>
                    <a:ln w="9525">
                      <a:noFill/>
                    </a:ln>
                  </pic:spPr>
                </pic:pic>
              </a:graphicData>
            </a:graphic>
          </wp:anchor>
        </w:drawing>
      </w:r>
    </w:p>
    <w:p>
      <w:pPr>
        <w:numPr>
          <w:numId w:val="0"/>
        </w:numPr>
        <w:rPr>
          <w:rFonts w:hint="default" w:ascii="宋体" w:hAnsi="宋体" w:eastAsia="宋体" w:cs="宋体"/>
          <w:sz w:val="21"/>
          <w:szCs w:val="21"/>
          <w:lang w:val="en-US" w:eastAsia="zh-CN"/>
        </w:rPr>
      </w:pPr>
    </w:p>
    <w:p>
      <w:pPr>
        <w:numPr>
          <w:numId w:val="0"/>
        </w:numPr>
        <w:rPr>
          <w:rFonts w:hint="default" w:ascii="宋体" w:hAnsi="宋体" w:eastAsia="宋体" w:cs="宋体"/>
          <w:sz w:val="21"/>
          <w:szCs w:val="21"/>
          <w:lang w:val="en-US" w:eastAsia="zh-CN"/>
        </w:rPr>
      </w:pPr>
    </w:p>
    <w:p>
      <w:pPr>
        <w:numPr>
          <w:numId w:val="0"/>
        </w:numPr>
        <w:rPr>
          <w:rFonts w:hint="default" w:ascii="宋体" w:hAnsi="宋体" w:eastAsia="宋体" w:cs="宋体"/>
          <w:sz w:val="21"/>
          <w:szCs w:val="21"/>
          <w:lang w:val="en-US" w:eastAsia="zh-CN"/>
        </w:rPr>
      </w:pPr>
    </w:p>
    <w:p>
      <w:pPr>
        <w:numPr>
          <w:numId w:val="0"/>
        </w:numPr>
        <w:rPr>
          <w:rFonts w:hint="default" w:ascii="宋体" w:hAnsi="宋体" w:eastAsia="宋体" w:cs="宋体"/>
          <w:sz w:val="21"/>
          <w:szCs w:val="21"/>
          <w:lang w:val="en-US" w:eastAsia="zh-CN"/>
        </w:rPr>
      </w:pPr>
    </w:p>
    <w:p>
      <w:pPr>
        <w:numPr>
          <w:numId w:val="0"/>
        </w:numPr>
        <w:rPr>
          <w:rFonts w:hint="default" w:ascii="宋体" w:hAnsi="宋体" w:eastAsia="宋体" w:cs="宋体"/>
          <w:sz w:val="21"/>
          <w:szCs w:val="21"/>
          <w:lang w:val="en-US" w:eastAsia="zh-CN"/>
        </w:rPr>
      </w:pPr>
    </w:p>
    <w:p>
      <w:pPr>
        <w:numPr>
          <w:numId w:val="0"/>
        </w:numPr>
        <w:rPr>
          <w:rFonts w:hint="default" w:ascii="宋体" w:hAnsi="宋体" w:eastAsia="宋体" w:cs="宋体"/>
          <w:sz w:val="21"/>
          <w:szCs w:val="21"/>
          <w:lang w:val="en-US" w:eastAsia="zh-CN"/>
        </w:rPr>
      </w:pPr>
    </w:p>
    <w:p>
      <w:pPr>
        <w:numPr>
          <w:numId w:val="0"/>
        </w:numPr>
        <w:rPr>
          <w:rFonts w:hint="default" w:ascii="宋体" w:hAnsi="宋体" w:eastAsia="宋体" w:cs="宋体"/>
          <w:sz w:val="21"/>
          <w:szCs w:val="21"/>
          <w:lang w:val="en-US" w:eastAsia="zh-CN"/>
        </w:rPr>
      </w:pPr>
    </w:p>
    <w:p>
      <w:pPr>
        <w:numPr>
          <w:numId w:val="0"/>
        </w:numPr>
        <w:rPr>
          <w:rFonts w:hint="default" w:ascii="宋体" w:hAnsi="宋体" w:eastAsia="宋体" w:cs="宋体"/>
          <w:sz w:val="21"/>
          <w:szCs w:val="21"/>
          <w:lang w:val="en-US" w:eastAsia="zh-CN"/>
        </w:rPr>
      </w:pPr>
    </w:p>
    <w:p>
      <w:pPr>
        <w:numPr>
          <w:numId w:val="0"/>
        </w:numPr>
        <w:rPr>
          <w:rFonts w:hint="default" w:ascii="宋体" w:hAnsi="宋体" w:eastAsia="宋体" w:cs="宋体"/>
          <w:sz w:val="21"/>
          <w:szCs w:val="21"/>
          <w:lang w:val="en-US" w:eastAsia="zh-CN"/>
        </w:rPr>
      </w:pPr>
    </w:p>
    <w:p>
      <w:pPr>
        <w:numPr>
          <w:numId w:val="0"/>
        </w:numPr>
        <w:rPr>
          <w:rFonts w:hint="default" w:ascii="宋体" w:hAnsi="宋体" w:eastAsia="宋体" w:cs="宋体"/>
          <w:sz w:val="21"/>
          <w:szCs w:val="21"/>
          <w:lang w:val="en-US" w:eastAsia="zh-CN"/>
        </w:rPr>
      </w:pPr>
    </w:p>
    <w:p>
      <w:pPr>
        <w:numPr>
          <w:numId w:val="0"/>
        </w:numPr>
        <w:rPr>
          <w:rFonts w:hint="default" w:ascii="宋体" w:hAnsi="宋体" w:eastAsia="宋体" w:cs="宋体"/>
          <w:sz w:val="21"/>
          <w:szCs w:val="21"/>
          <w:lang w:val="en-US" w:eastAsia="zh-CN"/>
        </w:rPr>
      </w:pPr>
    </w:p>
    <w:p>
      <w:pPr>
        <w:numPr>
          <w:numId w:val="0"/>
        </w:numP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左边钩码数×刻度=右边钩码数×距离时，杠杆尺保持平衡。</w:t>
      </w:r>
    </w:p>
    <w:p>
      <w:pPr>
        <w:numPr>
          <w:numId w:val="0"/>
        </w:numPr>
        <w:rPr>
          <w:rFonts w:hint="default" w:ascii="宋体" w:hAnsi="宋体" w:eastAsia="宋体" w:cs="宋体"/>
          <w:sz w:val="21"/>
          <w:szCs w:val="21"/>
          <w:lang w:val="en-US" w:eastAsia="zh-CN"/>
        </w:rPr>
      </w:pPr>
      <w:r>
        <w:drawing>
          <wp:anchor distT="0" distB="0" distL="114300" distR="114300" simplePos="0" relativeHeight="251662336" behindDoc="1" locked="0" layoutInCell="1" allowOverlap="1">
            <wp:simplePos x="0" y="0"/>
            <wp:positionH relativeFrom="column">
              <wp:posOffset>3323590</wp:posOffset>
            </wp:positionH>
            <wp:positionV relativeFrom="paragraph">
              <wp:posOffset>50800</wp:posOffset>
            </wp:positionV>
            <wp:extent cx="2759710" cy="2227580"/>
            <wp:effectExtent l="0" t="0" r="2540" b="1270"/>
            <wp:wrapTight wrapText="bothSides">
              <wp:wrapPolygon>
                <wp:start x="0" y="0"/>
                <wp:lineTo x="0" y="21428"/>
                <wp:lineTo x="21471" y="21428"/>
                <wp:lineTo x="2147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a:stretch>
                      <a:fillRect/>
                    </a:stretch>
                  </pic:blipFill>
                  <pic:spPr>
                    <a:xfrm>
                      <a:off x="0" y="0"/>
                      <a:ext cx="2759710" cy="2227580"/>
                    </a:xfrm>
                    <a:prstGeom prst="rect">
                      <a:avLst/>
                    </a:prstGeom>
                    <a:noFill/>
                    <a:ln>
                      <a:noFill/>
                    </a:ln>
                  </pic:spPr>
                </pic:pic>
              </a:graphicData>
            </a:graphic>
          </wp:anchor>
        </w:drawing>
      </w:r>
      <w:r>
        <w:rPr>
          <w:rFonts w:hint="default" w:ascii="宋体" w:hAnsi="宋体" w:eastAsia="宋体" w:cs="宋体"/>
          <w:sz w:val="21"/>
          <w:szCs w:val="21"/>
          <w:lang w:val="en-US" w:eastAsia="zh-CN"/>
        </w:rPr>
        <w:t>师小结：左边重量×距离=右边重量×距离，杠杆尺保持平衡。</w:t>
      </w:r>
    </w:p>
    <w:p>
      <w:pPr>
        <w:numPr>
          <w:numId w:val="0"/>
        </w:num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3.探究重量不相等的情况下平衡的规律</w:t>
      </w:r>
    </w:p>
    <w:p>
      <w:pPr>
        <w:numPr>
          <w:numId w:val="0"/>
        </w:numPr>
        <w:ind w:firstLine="42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通过几次实验，学生自主探究，总结规律，理解杠杆原理。</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jNTA3YjM4ZDk1YzM2YmIxOTczMjlkMGUzYzJiM2YifQ=="/>
  </w:docVars>
  <w:rsids>
    <w:rsidRoot w:val="7392092F"/>
    <w:rsid w:val="0B7F7ED7"/>
    <w:rsid w:val="179C6CCA"/>
    <w:rsid w:val="72B3073A"/>
    <w:rsid w:val="73920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png"/><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1254</Words>
  <Characters>1254</Characters>
  <Lines>0</Lines>
  <Paragraphs>0</Paragraphs>
  <TotalTime>17</TotalTime>
  <ScaleCrop>false</ScaleCrop>
  <LinksUpToDate>false</LinksUpToDate>
  <CharactersWithSpaces>1259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2024-06-13T07:20:00Z</dcterms:created>
  <dc:creator>陆萍芬</dc:creator>
  <cp:lastModifiedBy>陆萍芬</cp:lastModifiedBy>
  <dcterms:modified xsi:type="dcterms:W3CDTF">2024-06-14T02:23:32Z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4DEA1E284CF54FFE9E9D531A6BF21BB7_13</vt:lpwstr>
  </property>
</Properties>
</file>