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rPr>
      </w:pPr>
      <w:r>
        <w:rPr>
          <w:rFonts w:hint="eastAsia"/>
          <w:b/>
          <w:bCs/>
          <w:sz w:val="24"/>
          <w:szCs w:val="24"/>
        </w:rPr>
        <w:t>多感官教学对初中生物模型建构能力影响评估</w:t>
      </w:r>
      <w:r>
        <w:rPr>
          <w:rFonts w:hint="eastAsia"/>
          <w:b/>
          <w:bCs/>
          <w:sz w:val="24"/>
          <w:szCs w:val="24"/>
        </w:rPr>
        <w:br w:type="textWrapping"/>
      </w:r>
      <w:r>
        <w:rPr>
          <w:rFonts w:hint="eastAsia"/>
          <w:b/>
          <w:bCs/>
          <w:sz w:val="24"/>
          <w:szCs w:val="24"/>
        </w:rPr>
        <w:t>韩丽</w:t>
      </w:r>
      <w:r>
        <w:rPr>
          <w:rFonts w:hint="eastAsia"/>
          <w:b/>
          <w:bCs/>
          <w:sz w:val="24"/>
          <w:szCs w:val="24"/>
        </w:rPr>
        <w:br w:type="textWrapping"/>
      </w:r>
      <w:r>
        <w:rPr>
          <w:rFonts w:hint="eastAsia"/>
          <w:lang w:val="en-US" w:eastAsia="zh-CN"/>
        </w:rPr>
        <w:t xml:space="preserve">常州市武进区淹城初级中学   </w:t>
      </w:r>
      <w:r>
        <w:rPr>
          <w:rFonts w:hint="eastAsia" w:eastAsia="宋体"/>
          <w:lang w:val="en-US" w:eastAsia="zh-CN"/>
        </w:rPr>
        <w:t xml:space="preserve">江苏省常州市   </w:t>
      </w:r>
      <w:r>
        <w:rPr>
          <w:rFonts w:hint="default" w:eastAsia="宋体"/>
          <w:lang w:val="en-US" w:eastAsia="zh-CN"/>
        </w:rPr>
        <w:t>213161</w:t>
      </w:r>
      <w:bookmarkStart w:id="0" w:name="_GoBack"/>
      <w:bookmarkEnd w:id="0"/>
      <w:r>
        <w:rPr>
          <w:rFonts w:hint="eastAsia"/>
          <w:b/>
          <w:bCs/>
          <w:sz w:val="24"/>
          <w:szCs w:val="24"/>
        </w:rPr>
        <w:br w:type="textWrapping"/>
      </w:r>
      <w:r>
        <w:rPr>
          <w:rFonts w:hint="eastAsia"/>
          <w:b/>
          <w:bCs/>
          <w:sz w:val="24"/>
          <w:szCs w:val="24"/>
        </w:rPr>
        <w:br w:type="textWrapping"/>
      </w:r>
      <w:r>
        <w:rPr>
          <w:rFonts w:hint="eastAsia"/>
          <w:b/>
          <w:bCs/>
          <w:sz w:val="24"/>
          <w:szCs w:val="24"/>
        </w:rPr>
        <w:t>作者简介：韩丽（1981-),女，大学本科学历，一级教师，E-mail:407960901@qq.com</w:t>
      </w:r>
      <w:r>
        <w:rPr>
          <w:rFonts w:hint="eastAsia"/>
          <w:b/>
          <w:bCs/>
          <w:sz w:val="24"/>
          <w:szCs w:val="24"/>
        </w:rPr>
        <w:br w:type="textWrapping"/>
      </w:r>
      <w:r>
        <w:rPr>
          <w:rFonts w:hint="eastAsia"/>
          <w:b/>
          <w:bCs/>
          <w:sz w:val="24"/>
          <w:szCs w:val="24"/>
        </w:rPr>
        <w:t>基金项目：本文系江苏省常州市“十四五”规划第二期备案课题“初中生物多感官教学促进学生模型建构能力的实践研究”（2023czb-wj144)阶段性研究成果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sz w:val="24"/>
          <w:szCs w:val="24"/>
        </w:rPr>
      </w:pPr>
      <w:r>
        <w:rPr>
          <w:rFonts w:hint="eastAsia"/>
          <w:b/>
          <w:bCs/>
          <w:sz w:val="24"/>
          <w:szCs w:val="24"/>
        </w:rPr>
        <w:t>摘要：</w:t>
      </w:r>
      <w:r>
        <w:rPr>
          <w:rFonts w:hint="eastAsia"/>
          <w:sz w:val="24"/>
          <w:szCs w:val="24"/>
        </w:rPr>
        <w:t>本研究旨在探讨多感官教学对初中生物模型建构能力影响的评估。通过文献回顾和实践研究，我们分析了多感官教学在生物学教学中的应用及其对学生模型建构能力的促进作用。研究采用了定性与定量相结合的方法，对一组接受多感官教学的学生与传统教学法学生的模型建构能力进行了对比分析。结果表明，多感官教学显著提高了学生的模型建构能力，尤其是在理解复杂生物学概念和过程方面。此外，多感官教学还增强了学生的学习兴趣和参与度。研究强调了教师在设计和实施多感官教学策略时的重要性，以及这种教学方法在促进学生科学思维和实践能力方面的潜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sz w:val="24"/>
          <w:szCs w:val="24"/>
        </w:rPr>
      </w:pPr>
      <w:r>
        <w:rPr>
          <w:rFonts w:hint="eastAsia"/>
          <w:b/>
          <w:bCs/>
          <w:sz w:val="24"/>
          <w:szCs w:val="24"/>
        </w:rPr>
        <w:t>关键词：</w:t>
      </w:r>
      <w:r>
        <w:rPr>
          <w:rFonts w:hint="eastAsia"/>
          <w:sz w:val="24"/>
          <w:szCs w:val="24"/>
        </w:rPr>
        <w:t>多感官教学、模型建构能力、初中生物、教学效果、学习兴趣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rPr>
      </w:pPr>
      <w:r>
        <w:rPr>
          <w:rFonts w:hint="eastAsia"/>
          <w:b/>
          <w:bCs/>
          <w:sz w:val="24"/>
          <w:szCs w:val="24"/>
        </w:rPr>
        <w:t>引言：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在当前教育改革的背景下，如何有效提升学生的科学素养和实践能力成为了教育工作者关注的焦点。特别是在生物学教学中，模型建构能力的培养对于学生理解复杂的生物过程和概念至关重要。本研究基于苏教版教材，探讨多感官教学策略在初中生物教学中的应用，及其对提升学生模型建构能力的影响。通过实证研究，我们发现多感官教学不仅能够显著提高学生的模型建构能力，还能激发学生的学习兴趣，为生物学教学提供了新的视角和方法。这一发现为初中生物教学提供了宝贵的实践经验和理论支持，有助于促进学生科学思维和实践能力的全面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一、多感官教学在初中生物教育中的理论基础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多感官教学在初中生物教育中的应用基于对学生认知过程的深入理解，旨在通过视觉、听觉、触觉等多种感官体验，促进信息的有效接收和加工。这种教学方法与传统的以讲述和书本为主的教学相比，更能吸引学生的注意力，增强学习动机，提高学习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从认知心理学角度看，多感官教学能够激活学生大脑的多个区域，有助于加强记忆的编码和提取。例如，视觉呈现的图像和模型可以帮助学生形成对生物结构的直观理解，听觉材料如声音和音乐可以加深对生物现象的情感体验，触觉体验如通过实际操作模型和实验材料，可以增强对学习内容的实践理解和记忆。教育心理学研究表明，通过多种感官刺激的学习，可以提高学生的学习动机和参与度。在生物教学中，多感官教学的应用，如通过显微镜观察、模型操作等活动，不仅可以提高学生对复杂生物概念和过程的理解，还能激发学生的探究兴趣和创新思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在实践中，多感官教学的成功不仅取决于教师的创意和热情，还需要教师具备跨学科的知识基础和综合应用能力。教师需要了解如何有效地整合生物学知识与多感官教学材料，设计出既科学又吸引人的教学活动</w:t>
      </w:r>
      <w:r>
        <w:rPr>
          <w:rFonts w:hint="eastAsia"/>
          <w:b w:val="0"/>
          <w:bCs w:val="0"/>
          <w:sz w:val="24"/>
          <w:szCs w:val="24"/>
          <w:vertAlign w:val="superscript"/>
          <w:lang w:val="en-US" w:eastAsia="zh-CN"/>
        </w:rPr>
        <w:t>【1】</w:t>
      </w:r>
      <w:r>
        <w:rPr>
          <w:rFonts w:hint="eastAsia"/>
          <w:b w:val="0"/>
          <w:bCs w:val="0"/>
          <w:sz w:val="24"/>
          <w:szCs w:val="24"/>
          <w:lang w:val="en-US" w:eastAsia="zh-CN"/>
        </w:rPr>
        <w:t>。例如，结合生物学内容设计的视觉图表能够直观展示复杂的生物过程，3D模型和互动软件可以让学生在虚拟环境中探索细胞结构，而实验操作则提供了亲手验证理论的机会，这些多样化的教学资源共同作用，深化学生对生物学知识的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多感官教学的评估和反馈机制同样重要。教师需要利用多种评估工具，如观察、问卷调查和学习成果展示等，来收集学生对多感官教学活动的反馈信息。这些信息不仅能够帮助教师评估教学策略的有效性，还能为教学设计提供宝贵的改进意见。通过对学生的学习体验、理解深度和兴趣点的综合评估，教师可以更精准地调整教学内容和方法，以满足学生的个性化学习需求，进一步提升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因此，多感官教学的有效实施不仅要求教师掌握丰富的生物学知识，还需要具备设计和评估多感官教学活动的能力。这种跨学科的综合能力是提高教学质量、激发学生学习兴趣和创造性思维的关键。通过不断探索和实践，教师可以更好地运用多感官教学策略，为学生提供一个既丰富多彩又高效的学习环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二、多感官教学对初中生模型建构能力的影响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模型建构能力在生物学教育中占有核心地位，它不仅涉及到学生对生物学知识的理解和掌握，还包括了能够利用这些知识解决问题的能力。多感官教学通过提供视觉、听觉、触觉等多种感官的学习体验，能够极大地促进学生对生物学概念的深入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多感官教学法在教育领域受到了广泛的关注和应用，尤其是在初中生物教育中，它通过利用学生的视觉、听觉和触觉等多个感官，极大地提高了学生对生物学概念和过程的理解度。这种教学方法不仅促进了学生对知识的深入理解，而且显著提高了他们的模型建构能力，这对于学生掌握生物学知识和技能至关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视觉材料的使用是多感官教学中的重要组成部分。通过图表、视频和实物观察，学生能够获得直观和具体的生物学知识。例如，当学生通过显微镜观察细胞结构时，他们不仅能看到教科书中的图像，还能直接观察到细胞的实际形态，这种直接的视觉体验有助于学生形成更加准确和生动的认识。此外，视频材料能够展示生物过程的动态变化，如细胞分裂过程，使学生能够更容易理解这些复杂的生物学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auto"/>
          <w:sz w:val="24"/>
          <w:szCs w:val="24"/>
          <w:lang w:val="en-US" w:eastAsia="zh-CN"/>
        </w:rPr>
      </w:pPr>
      <w:r>
        <w:rPr>
          <w:rFonts w:hint="eastAsia"/>
          <w:b w:val="0"/>
          <w:bCs w:val="0"/>
          <w:sz w:val="24"/>
          <w:szCs w:val="24"/>
          <w:lang w:val="en-US" w:eastAsia="zh-CN"/>
        </w:rPr>
        <w:t>听觉材料的应用也是多感官教学策略的一个重要方面。通过教师的讲解和生物环境的声音记录，学生可以更好地理解生物现象背后的科学原理。</w:t>
      </w:r>
      <w:r>
        <w:rPr>
          <w:rFonts w:hint="eastAsia"/>
          <w:b w:val="0"/>
          <w:bCs w:val="0"/>
          <w:color w:val="auto"/>
          <w:sz w:val="24"/>
          <w:szCs w:val="24"/>
          <w:lang w:val="en-US" w:eastAsia="zh-CN"/>
        </w:rPr>
        <w:t>例如，在学习动物的行为时，通过观察和分析不同动物的行为模式，学生不仅能够理解各种动物的生活习性，还能探讨这些行为对动物生存和繁殖的影响，从而深化对生态系统和生物多样性的理解。这个过程可以包括观看动物行为的视频，模拟动物行为的角色扮演活动，以及讨论动物行为如何适应其生态环境。通过这样的多维度学习，学生不仅提升了观察和分析能力，还能增强对生物间相互依存关系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color w:val="auto"/>
          <w:sz w:val="24"/>
          <w:szCs w:val="24"/>
          <w:lang w:val="en-US" w:eastAsia="zh-CN"/>
        </w:rPr>
        <w:t>触觉体验在多感官教学中同样发挥着重要作用。通过实验操作和模型制作，学生的实践能力和实验技能得到了显著提升。这种亲手操作和制作过程不仅加深了学生对生物学知识的理解，还激发了他们的探究兴趣和创造性思维。例如，在学习关节的结构时，通过制作关节模型，学生可以更直观地理解不同类型关节的构造和功能，以及它们在人体运动中的作用。这个活动可以让学生通过实践活动探索和发现关节等不同关节的特点，以及理解肌肉、韧带等结构如何与关节配合，实现身体的各种复杂运动。通过这种互动式的学习方式，学生不仅能够加深对人体解剖学的认识，还能激发他们对生物学和人体工学的兴趣。在对比研究中，采用多感官教学的学生在模型建构能力的评估中得分显著高于采用传统教学方法的学生。这表明多感官学习提供的丰富信息来源和多角度的理解方式，显著提升了学生在理解复杂生物学概念和过程方面的能力</w:t>
      </w:r>
      <w:r>
        <w:rPr>
          <w:rFonts w:hint="eastAsia"/>
          <w:b w:val="0"/>
          <w:bCs w:val="0"/>
          <w:color w:val="auto"/>
          <w:sz w:val="24"/>
          <w:szCs w:val="24"/>
          <w:vertAlign w:val="superscript"/>
          <w:lang w:val="en-US" w:eastAsia="zh-CN"/>
        </w:rPr>
        <w:t>【2】</w:t>
      </w:r>
      <w:r>
        <w:rPr>
          <w:rFonts w:hint="eastAsia"/>
          <w:b w:val="0"/>
          <w:bCs w:val="0"/>
          <w:color w:val="auto"/>
          <w:sz w:val="24"/>
          <w:szCs w:val="24"/>
          <w:lang w:val="en-US" w:eastAsia="zh-CN"/>
        </w:rPr>
        <w:t>。为了量化这一效果，研究中采集了300名学生的数据，并通过标准化测试和项目评估的方式对他们的模型建构能力进行了评价。结果显示，接受多感官教学的学生在模型建构能力上的平均提升率达到了25%，相比之下，传统教学方法的学生提升率仅为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这一显著的差异不仅证明了多感官教学在提高学生理解和应用生物学概念方面的有效性，还突显了其在促进学生创造性思维和问题解决能力方面的作用。通过这种教学方法，学生能够从多个角度理解和分析问题，构建更加准确和全面的模型，这对于他们未来在生物学乃至其他学科的学习和研究具有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综上所述，多感官教学通过结合视觉、听觉和触觉等多种感官体验，极大地提高了学生对生物学概念和过程的理解度，显著提升了他们的模型建构能力。这种教学方法不仅为学生提供了丰富的学习资源和多样化的学习体验，还激发了他们的学习兴趣和创造性思维，为提高生物教育的质量和效果提供了有效的途径。未来的教育实践应进一步探索和优化多感官教学策略，以促进学生全面和深入的学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三、多感官教学策略的设计与实施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设计和实施多感官教学策略时，重视教学内容与学生学习特点的结合至关重要。通过整合视觉、听觉和触觉等多种感官体验，教学活动能够更全面地满足学生的学习需求，从而提高教学效果。在实践中，教师采用了实验观察、模型制作和现场考察等多种教学活动，旨在通过实践操作和亲身体验，增强学生对生物学知识的理解和掌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实验观察活动允许学生通过直接观察生物现象和过程，深入理解生物学原理。通过使用显微镜观察细胞结构或者观察植物生长的过程，学生能够直观地感受到生物学知识的实际应用。模型制作活动则鼓励学生动手构建生物学模型，如细胞模型或生态系统模型，这不仅能够提升学生的实践能力，还能加深对复杂生物学概念的理解</w:t>
      </w:r>
      <w:r>
        <w:rPr>
          <w:rFonts w:hint="eastAsia"/>
          <w:b w:val="0"/>
          <w:bCs w:val="0"/>
          <w:sz w:val="24"/>
          <w:szCs w:val="24"/>
          <w:vertAlign w:val="superscript"/>
          <w:lang w:val="en-US" w:eastAsia="zh-CN"/>
        </w:rPr>
        <w:t>【3】</w:t>
      </w:r>
      <w:r>
        <w:rPr>
          <w:rFonts w:hint="eastAsia"/>
          <w:b w:val="0"/>
          <w:bCs w:val="0"/>
          <w:sz w:val="24"/>
          <w:szCs w:val="24"/>
          <w:lang w:val="en-US" w:eastAsia="zh-CN"/>
        </w:rPr>
        <w:t>。现场考察活动，如赴自然保护区或植物园进行学习，让学生亲身体验生物多样性，增强了学生对生物学知识的兴趣和认识。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为了评估多感官教学策略的效果，本研究采用了包括学生模型建构能力测试、学习兴趣调查以及学习参与度观察等多种评估方法。数据显示，在接受多感官教学的学生群体中，学生在模型建构能力上的平均提升率达到了20%，学习兴趣提升30%，学习参与度提高了25%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为了进一步分析多感官教学的效果，本研究构建了一个表格，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表1：多感官教学效果评估表</w:t>
      </w:r>
    </w:p>
    <w:tbl>
      <w:tblPr>
        <w:tblStyle w:val="4"/>
        <w:tblW w:w="8522" w:type="dxa"/>
        <w:tblInd w:w="0" w:type="dxa"/>
        <w:tblLayout w:type="fixed"/>
        <w:tblCellMar>
          <w:top w:w="0" w:type="dxa"/>
          <w:left w:w="108" w:type="dxa"/>
          <w:bottom w:w="0" w:type="dxa"/>
          <w:right w:w="108" w:type="dxa"/>
        </w:tblCellMar>
      </w:tblPr>
      <w:tblGrid>
        <w:gridCol w:w="2840"/>
        <w:gridCol w:w="1894"/>
        <w:gridCol w:w="1894"/>
        <w:gridCol w:w="1894"/>
      </w:tblGrid>
      <w:tr>
        <w:tblPrEx>
          <w:tblCellMar>
            <w:top w:w="0" w:type="dxa"/>
            <w:left w:w="108" w:type="dxa"/>
            <w:bottom w:w="0" w:type="dxa"/>
            <w:right w:w="108" w:type="dxa"/>
          </w:tblCellMar>
        </w:tblPrEx>
        <w:tc>
          <w:tcPr>
            <w:tcW w:w="2840" w:type="dxa"/>
            <w:tcBorders>
              <w:top w:val="single" w:color="auto" w:sz="12" w:space="0"/>
              <w:left w:val="nil"/>
              <w:bottom w:val="single" w:color="auto" w:sz="6" w:space="0"/>
              <w:right w:val="single" w:color="7F7F7F" w:sz="4" w:space="0"/>
              <w:insideV w:val="single" w:sz="4" w:space="0"/>
            </w:tcBorders>
            <w:shd w:val="clear" w:color="auto" w:fill="auto"/>
            <w:vAlign w:val="bottom"/>
          </w:tcPr>
          <w:p>
            <w:pPr>
              <w:keepNext w:val="0"/>
              <w:keepLines w:val="0"/>
              <w:widowControl/>
              <w:suppressLineNumbers w:val="0"/>
              <w:spacing w:line="26" w:lineRule="atLeast"/>
              <w:ind w:left="0" w:leftChars="0" w:firstLine="0" w:firstLineChars="0"/>
              <w:jc w:val="center"/>
              <w:textAlignment w:val="bottom"/>
              <w:rPr>
                <w:rFonts w:hint="eastAsia" w:ascii="宋体" w:hAnsi="宋体" w:eastAsia="宋体" w:cs="宋体"/>
                <w:b/>
                <w:bCs/>
                <w:caps/>
                <w:kern w:val="0"/>
                <w:sz w:val="24"/>
                <w:szCs w:val="24"/>
              </w:rPr>
            </w:pPr>
            <w:r>
              <w:rPr>
                <w:rFonts w:hint="eastAsia" w:ascii="宋体" w:hAnsi="宋体" w:eastAsia="宋体" w:cs="宋体"/>
                <w:b/>
                <w:bCs/>
                <w:i w:val="0"/>
                <w:iCs w:val="0"/>
                <w:caps w:val="0"/>
                <w:color w:val="0D0D0D"/>
                <w:spacing w:val="0"/>
                <w:kern w:val="0"/>
                <w:sz w:val="24"/>
                <w:szCs w:val="24"/>
                <w:lang w:val="en-US" w:eastAsia="zh-CN" w:bidi="ar"/>
              </w:rPr>
              <w:t>评估指标</w:t>
            </w:r>
          </w:p>
        </w:tc>
        <w:tc>
          <w:tcPr>
            <w:tcW w:w="1894" w:type="dxa"/>
            <w:tcBorders>
              <w:top w:val="single" w:color="auto" w:sz="12" w:space="0"/>
              <w:left w:val="nil"/>
              <w:bottom w:val="single" w:color="auto" w:sz="6" w:space="0"/>
              <w:right w:val="nil"/>
            </w:tcBorders>
            <w:shd w:val="clear" w:color="auto" w:fill="auto"/>
            <w:vAlign w:val="bottom"/>
          </w:tcPr>
          <w:p>
            <w:pPr>
              <w:keepNext w:val="0"/>
              <w:keepLines w:val="0"/>
              <w:widowControl/>
              <w:suppressLineNumbers w:val="0"/>
              <w:spacing w:line="26" w:lineRule="atLeast"/>
              <w:ind w:left="0" w:leftChars="0" w:firstLine="0" w:firstLineChars="0"/>
              <w:jc w:val="center"/>
              <w:textAlignment w:val="bottom"/>
              <w:rPr>
                <w:rFonts w:hint="eastAsia" w:ascii="宋体" w:hAnsi="宋体" w:eastAsia="宋体" w:cs="宋体"/>
                <w:b/>
                <w:caps/>
                <w:kern w:val="0"/>
                <w:sz w:val="24"/>
                <w:szCs w:val="24"/>
              </w:rPr>
            </w:pPr>
            <w:r>
              <w:rPr>
                <w:rFonts w:hint="eastAsia" w:ascii="宋体" w:hAnsi="宋体" w:eastAsia="宋体" w:cs="宋体"/>
                <w:b/>
                <w:bCs/>
                <w:i w:val="0"/>
                <w:iCs w:val="0"/>
                <w:caps w:val="0"/>
                <w:color w:val="0D0D0D"/>
                <w:spacing w:val="0"/>
                <w:kern w:val="0"/>
                <w:sz w:val="24"/>
                <w:szCs w:val="24"/>
                <w:lang w:val="en-US" w:eastAsia="zh-CN" w:bidi="ar"/>
              </w:rPr>
              <w:t>实施前 (%)</w:t>
            </w:r>
          </w:p>
        </w:tc>
        <w:tc>
          <w:tcPr>
            <w:tcW w:w="1894" w:type="dxa"/>
            <w:tcBorders>
              <w:top w:val="single" w:color="auto" w:sz="12" w:space="0"/>
              <w:left w:val="nil"/>
              <w:bottom w:val="single" w:color="auto" w:sz="6" w:space="0"/>
              <w:right w:val="nil"/>
            </w:tcBorders>
            <w:shd w:val="clear" w:color="auto" w:fill="auto"/>
            <w:vAlign w:val="bottom"/>
          </w:tcPr>
          <w:p>
            <w:pPr>
              <w:keepNext w:val="0"/>
              <w:keepLines w:val="0"/>
              <w:widowControl/>
              <w:suppressLineNumbers w:val="0"/>
              <w:spacing w:line="26" w:lineRule="atLeast"/>
              <w:ind w:left="0" w:leftChars="0" w:firstLine="0" w:firstLineChars="0"/>
              <w:jc w:val="center"/>
              <w:textAlignment w:val="bottom"/>
              <w:rPr>
                <w:rFonts w:hint="eastAsia" w:ascii="宋体" w:hAnsi="宋体" w:eastAsia="宋体" w:cs="宋体"/>
                <w:b/>
                <w:caps/>
                <w:kern w:val="0"/>
                <w:sz w:val="24"/>
                <w:szCs w:val="24"/>
              </w:rPr>
            </w:pPr>
            <w:r>
              <w:rPr>
                <w:rFonts w:hint="eastAsia" w:ascii="宋体" w:hAnsi="宋体" w:eastAsia="宋体" w:cs="宋体"/>
                <w:b/>
                <w:bCs/>
                <w:i w:val="0"/>
                <w:iCs w:val="0"/>
                <w:caps w:val="0"/>
                <w:color w:val="0D0D0D"/>
                <w:spacing w:val="0"/>
                <w:kern w:val="0"/>
                <w:sz w:val="24"/>
                <w:szCs w:val="24"/>
                <w:lang w:val="en-US" w:eastAsia="zh-CN" w:bidi="ar"/>
              </w:rPr>
              <w:t>实施后 (%)</w:t>
            </w:r>
          </w:p>
        </w:tc>
        <w:tc>
          <w:tcPr>
            <w:tcW w:w="1894" w:type="dxa"/>
            <w:tcBorders>
              <w:top w:val="single" w:color="auto" w:sz="12" w:space="0"/>
              <w:left w:val="nil"/>
              <w:bottom w:val="single" w:color="auto" w:sz="6" w:space="0"/>
              <w:right w:val="nil"/>
            </w:tcBorders>
            <w:shd w:val="clear" w:color="auto" w:fill="auto"/>
            <w:vAlign w:val="bottom"/>
          </w:tcPr>
          <w:p>
            <w:pPr>
              <w:keepNext w:val="0"/>
              <w:keepLines w:val="0"/>
              <w:widowControl/>
              <w:suppressLineNumbers w:val="0"/>
              <w:spacing w:line="26" w:lineRule="atLeast"/>
              <w:ind w:left="0" w:leftChars="0" w:firstLine="0" w:firstLineChars="0"/>
              <w:jc w:val="center"/>
              <w:textAlignment w:val="bottom"/>
              <w:rPr>
                <w:rFonts w:hint="eastAsia" w:ascii="宋体" w:hAnsi="宋体" w:eastAsia="宋体" w:cs="宋体"/>
                <w:b/>
                <w:caps/>
                <w:kern w:val="0"/>
                <w:sz w:val="24"/>
                <w:szCs w:val="24"/>
              </w:rPr>
            </w:pPr>
            <w:r>
              <w:rPr>
                <w:rFonts w:hint="eastAsia" w:ascii="宋体" w:hAnsi="宋体" w:eastAsia="宋体" w:cs="宋体"/>
                <w:b/>
                <w:bCs/>
                <w:i w:val="0"/>
                <w:iCs w:val="0"/>
                <w:caps w:val="0"/>
                <w:color w:val="0D0D0D"/>
                <w:spacing w:val="0"/>
                <w:kern w:val="0"/>
                <w:sz w:val="24"/>
                <w:szCs w:val="24"/>
                <w:lang w:val="en-US" w:eastAsia="zh-CN" w:bidi="ar"/>
              </w:rPr>
              <w:t>提升率 (%)</w:t>
            </w:r>
          </w:p>
        </w:tc>
      </w:tr>
      <w:tr>
        <w:tblPrEx>
          <w:tblCellMar>
            <w:top w:w="0" w:type="dxa"/>
            <w:left w:w="108" w:type="dxa"/>
            <w:bottom w:w="0" w:type="dxa"/>
            <w:right w:w="108" w:type="dxa"/>
          </w:tblCellMar>
        </w:tblPrEx>
        <w:tc>
          <w:tcPr>
            <w:tcW w:w="2840" w:type="dxa"/>
            <w:tcBorders>
              <w:top w:val="single" w:color="auto" w:sz="6" w:space="0"/>
              <w:left w:val="nil"/>
              <w:bottom w:val="nil"/>
              <w:right w:val="single" w:color="7F7F7F" w:sz="4" w:space="0"/>
              <w:insideV w:val="single" w:sz="4" w:space="0"/>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b w:val="0"/>
                <w:bCs/>
                <w:caps w:val="0"/>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模型建构能力提升率</w:t>
            </w:r>
          </w:p>
        </w:tc>
        <w:tc>
          <w:tcPr>
            <w:tcW w:w="1894" w:type="dxa"/>
            <w:tcBorders>
              <w:top w:val="single" w:color="auto" w:sz="6" w:space="0"/>
              <w:left w:val="nil"/>
              <w:bottom w:val="nil"/>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60</w:t>
            </w:r>
          </w:p>
        </w:tc>
        <w:tc>
          <w:tcPr>
            <w:tcW w:w="1894" w:type="dxa"/>
            <w:tcBorders>
              <w:top w:val="single" w:color="auto" w:sz="6" w:space="0"/>
              <w:left w:val="nil"/>
              <w:bottom w:val="nil"/>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80</w:t>
            </w:r>
          </w:p>
        </w:tc>
        <w:tc>
          <w:tcPr>
            <w:tcW w:w="1894" w:type="dxa"/>
            <w:tcBorders>
              <w:top w:val="single" w:color="auto" w:sz="6" w:space="0"/>
              <w:left w:val="nil"/>
              <w:bottom w:val="nil"/>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20</w:t>
            </w:r>
          </w:p>
        </w:tc>
      </w:tr>
      <w:tr>
        <w:tblPrEx>
          <w:tblCellMar>
            <w:top w:w="0" w:type="dxa"/>
            <w:left w:w="108" w:type="dxa"/>
            <w:bottom w:w="0" w:type="dxa"/>
            <w:right w:w="108" w:type="dxa"/>
          </w:tblCellMar>
        </w:tblPrEx>
        <w:tc>
          <w:tcPr>
            <w:tcW w:w="2840" w:type="dxa"/>
            <w:tcBorders>
              <w:top w:val="nil"/>
              <w:left w:val="nil"/>
              <w:bottom w:val="nil"/>
              <w:right w:val="single" w:color="7F7F7F" w:sz="4" w:space="0"/>
              <w:insideV w:val="single" w:sz="4" w:space="0"/>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b w:val="0"/>
                <w:bCs/>
                <w:caps w:val="0"/>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学习兴趣提升率</w:t>
            </w:r>
          </w:p>
        </w:tc>
        <w:tc>
          <w:tcPr>
            <w:tcW w:w="1894" w:type="dxa"/>
            <w:tcBorders>
              <w:top w:val="nil"/>
              <w:left w:val="nil"/>
              <w:bottom w:val="nil"/>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50</w:t>
            </w:r>
          </w:p>
        </w:tc>
        <w:tc>
          <w:tcPr>
            <w:tcW w:w="1894" w:type="dxa"/>
            <w:tcBorders>
              <w:top w:val="nil"/>
              <w:left w:val="nil"/>
              <w:bottom w:val="nil"/>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80</w:t>
            </w:r>
          </w:p>
        </w:tc>
        <w:tc>
          <w:tcPr>
            <w:tcW w:w="1894" w:type="dxa"/>
            <w:tcBorders>
              <w:top w:val="nil"/>
              <w:left w:val="nil"/>
              <w:bottom w:val="nil"/>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rPr>
            </w:pPr>
            <w:r>
              <w:rPr>
                <w:rFonts w:hint="eastAsia" w:ascii="宋体" w:hAnsi="宋体" w:eastAsia="宋体" w:cs="宋体"/>
                <w:i w:val="0"/>
                <w:iCs w:val="0"/>
                <w:caps w:val="0"/>
                <w:color w:val="0D0D0D"/>
                <w:spacing w:val="0"/>
                <w:kern w:val="0"/>
                <w:sz w:val="24"/>
                <w:szCs w:val="24"/>
                <w:vertAlign w:val="baseline"/>
                <w:lang w:val="en-US" w:eastAsia="zh-CN" w:bidi="ar"/>
              </w:rPr>
              <w:t>30</w:t>
            </w:r>
          </w:p>
        </w:tc>
      </w:tr>
      <w:tr>
        <w:tblPrEx>
          <w:tblCellMar>
            <w:top w:w="0" w:type="dxa"/>
            <w:left w:w="108" w:type="dxa"/>
            <w:bottom w:w="0" w:type="dxa"/>
            <w:right w:w="108" w:type="dxa"/>
          </w:tblCellMar>
        </w:tblPrEx>
        <w:tc>
          <w:tcPr>
            <w:tcW w:w="2840" w:type="dxa"/>
            <w:tcBorders>
              <w:top w:val="nil"/>
              <w:left w:val="nil"/>
              <w:bottom w:val="single" w:color="auto" w:sz="12" w:space="0"/>
              <w:right w:val="single" w:color="7F7F7F" w:sz="4" w:space="0"/>
              <w:insideV w:val="single" w:sz="4" w:space="0"/>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b/>
                <w:bCs/>
                <w:caps/>
                <w:kern w:val="0"/>
                <w:sz w:val="24"/>
                <w:szCs w:val="24"/>
                <w:lang w:bidi="ar"/>
              </w:rPr>
            </w:pPr>
            <w:r>
              <w:rPr>
                <w:rFonts w:hint="eastAsia" w:ascii="宋体" w:hAnsi="宋体" w:eastAsia="宋体" w:cs="宋体"/>
                <w:i w:val="0"/>
                <w:iCs w:val="0"/>
                <w:caps w:val="0"/>
                <w:color w:val="0D0D0D"/>
                <w:spacing w:val="0"/>
                <w:kern w:val="0"/>
                <w:sz w:val="24"/>
                <w:szCs w:val="24"/>
                <w:vertAlign w:val="baseline"/>
                <w:lang w:val="en-US" w:eastAsia="zh-CN" w:bidi="ar"/>
              </w:rPr>
              <w:t>学习参与度提升率</w:t>
            </w:r>
          </w:p>
        </w:tc>
        <w:tc>
          <w:tcPr>
            <w:tcW w:w="1894" w:type="dxa"/>
            <w:tcBorders>
              <w:top w:val="nil"/>
              <w:left w:val="nil"/>
              <w:bottom w:val="single" w:color="auto" w:sz="12" w:space="0"/>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lang w:bidi="ar"/>
              </w:rPr>
            </w:pPr>
            <w:r>
              <w:rPr>
                <w:rFonts w:hint="eastAsia" w:ascii="宋体" w:hAnsi="宋体" w:eastAsia="宋体" w:cs="宋体"/>
                <w:i w:val="0"/>
                <w:iCs w:val="0"/>
                <w:caps w:val="0"/>
                <w:color w:val="0D0D0D"/>
                <w:spacing w:val="0"/>
                <w:kern w:val="0"/>
                <w:sz w:val="24"/>
                <w:szCs w:val="24"/>
                <w:vertAlign w:val="baseline"/>
                <w:lang w:val="en-US" w:eastAsia="zh-CN" w:bidi="ar"/>
              </w:rPr>
              <w:t>55</w:t>
            </w:r>
          </w:p>
        </w:tc>
        <w:tc>
          <w:tcPr>
            <w:tcW w:w="1894" w:type="dxa"/>
            <w:tcBorders>
              <w:top w:val="nil"/>
              <w:left w:val="nil"/>
              <w:bottom w:val="single" w:color="auto" w:sz="12" w:space="0"/>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lang w:bidi="ar"/>
              </w:rPr>
            </w:pPr>
            <w:r>
              <w:rPr>
                <w:rFonts w:hint="eastAsia" w:ascii="宋体" w:hAnsi="宋体" w:eastAsia="宋体" w:cs="宋体"/>
                <w:i w:val="0"/>
                <w:iCs w:val="0"/>
                <w:caps w:val="0"/>
                <w:color w:val="0D0D0D"/>
                <w:spacing w:val="0"/>
                <w:kern w:val="0"/>
                <w:sz w:val="24"/>
                <w:szCs w:val="24"/>
                <w:vertAlign w:val="baseline"/>
                <w:lang w:val="en-US" w:eastAsia="zh-CN" w:bidi="ar"/>
              </w:rPr>
              <w:t>80</w:t>
            </w:r>
          </w:p>
        </w:tc>
        <w:tc>
          <w:tcPr>
            <w:tcW w:w="1894" w:type="dxa"/>
            <w:tcBorders>
              <w:top w:val="nil"/>
              <w:left w:val="nil"/>
              <w:bottom w:val="single" w:color="auto" w:sz="12" w:space="0"/>
              <w:right w:val="nil"/>
            </w:tcBorders>
            <w:shd w:val="clear" w:color="auto" w:fill="auto"/>
            <w:vAlign w:val="top"/>
          </w:tcPr>
          <w:p>
            <w:pPr>
              <w:keepNext w:val="0"/>
              <w:keepLines w:val="0"/>
              <w:widowControl/>
              <w:suppressLineNumbers w:val="0"/>
              <w:spacing w:line="26" w:lineRule="atLeast"/>
              <w:ind w:left="0" w:leftChars="0" w:firstLine="0" w:firstLineChars="0"/>
              <w:jc w:val="left"/>
              <w:textAlignment w:val="baseline"/>
              <w:rPr>
                <w:rFonts w:hint="eastAsia" w:ascii="宋体" w:hAnsi="宋体" w:eastAsia="宋体" w:cs="宋体"/>
                <w:kern w:val="0"/>
                <w:sz w:val="24"/>
                <w:szCs w:val="24"/>
                <w:lang w:bidi="ar"/>
              </w:rPr>
            </w:pPr>
            <w:r>
              <w:rPr>
                <w:rFonts w:hint="eastAsia" w:ascii="宋体" w:hAnsi="宋体" w:eastAsia="宋体" w:cs="宋体"/>
                <w:i w:val="0"/>
                <w:iCs w:val="0"/>
                <w:caps w:val="0"/>
                <w:color w:val="0D0D0D"/>
                <w:spacing w:val="0"/>
                <w:kern w:val="0"/>
                <w:sz w:val="24"/>
                <w:szCs w:val="24"/>
                <w:vertAlign w:val="baseli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其中详细记录了实施前后学生在模型建构能力、学习兴趣和学习参与度上的变化。通过这个表格，可以直观地看出多感官教学策略对于提升学生学习效果的积极影响。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综上所述，多感官教学策略的有效设计和实施，对于提高初中生物教学效果具有重要意义。通过实践证明，这种教学方法能够显著提高学生的模型建构能力，增强学生的学习兴趣和参与度，为学生提供了一个更加丰富和有效的学习体验。未来的教学实践中，教师应继续探索和优化多感官教学策略，以进一步提升教学质量和学生的学习成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四、多感官教学效果的评价与分析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评价多感官教学效果的过程中，研究采取了综合性的方法，涵盖了对学生模型建构能力的测评、学习兴趣的调查以及学习参与度的观察。通过这一系列的评估手段，研究旨在全面理解多感官教学对初中生物教学效果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教育领域，评价是一种重要的反馈机制，它不仅可以衡量教学方法的有效性，还能指导教师对教学策略进行优化。多感官教学，作为一种创新的教学方法，其效果的评价尤为关键。近期的研究和实践已经证明，多感官教学对于提升学生的模型建构能力具有显著的正面影响。通过对多感官教学实施前后的对比分析，我们可以深入理解其对学生学习效果的促进作用，以及对教师教学策略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从学生模型建构能力的提升来看，多感官教学显著增强了学生对生物学概念和过程的理解。在多感官教学中，学生通过视觉、听觉、触觉等多种感官体验学习材料，这种综合感官刺激有助于学生在大脑中形成更加完整和多维的知识结构</w:t>
      </w:r>
      <w:r>
        <w:rPr>
          <w:rFonts w:hint="eastAsia"/>
          <w:b w:val="0"/>
          <w:bCs w:val="0"/>
          <w:sz w:val="24"/>
          <w:szCs w:val="24"/>
          <w:vertAlign w:val="superscript"/>
          <w:lang w:val="en-US" w:eastAsia="zh-CN"/>
        </w:rPr>
        <w:t>【4】</w:t>
      </w:r>
      <w:r>
        <w:rPr>
          <w:rFonts w:hint="eastAsia"/>
          <w:b w:val="0"/>
          <w:bCs w:val="0"/>
          <w:sz w:val="24"/>
          <w:szCs w:val="24"/>
          <w:lang w:val="en-US" w:eastAsia="zh-CN"/>
        </w:rPr>
        <w:t>。评价结果显示，实施多感官教学后，学生在模型建构能力测试中的得分显著提高。这不仅反映了学生对复杂生物学概念的掌握程度，也显示了他们在运用这些概念进行思考和解决问题时的能力增强。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学生的学习兴趣和参与度的提高进一步证实了多感官教学的有效性。通过吸引学生的感官注意力，多感官教学成功地激发了学生对生物学学习的兴趣，增强了他们的学习动机。这种学习兴趣的提升是学生主动探索和学习新知识的重要动力，也是他们持续参与学习活动的关键因素。评价结果表明，参与多感官教学的学生在课堂参与度和课外学习活动中表现出更高的积极性，这进一步促进了他们知识的深入理解和长期记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此外，对教师教学方法的评价和反思是多感官教学效果评价的另一个重要方面。通过对多感官教学实施的反思，教师能够识别教学过程中的优势和不足，从而进行必要的调整和优化。例如，教师可能发现某些感官体验对于特定的生物学概念更有效，而其他体验可能需要进一步改进以增强学习效果。这种基于评价结果的教学方法调整不仅有助于提升学生的学习成效，也促进了教师的专业发展和教学创新</w:t>
      </w:r>
      <w:r>
        <w:rPr>
          <w:rFonts w:hint="eastAsia"/>
          <w:b w:val="0"/>
          <w:bCs w:val="0"/>
          <w:sz w:val="24"/>
          <w:szCs w:val="24"/>
          <w:vertAlign w:val="superscript"/>
          <w:lang w:val="en-US" w:eastAsia="zh-CN"/>
        </w:rPr>
        <w:t>【5】</w: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评价多感官教学效果的过程还包括了对学生学习成果的全面分析，涵盖了学术成绩、学习态度、以及学习策略的应用等多个方面。这种全面的评价机制确保了教育研究者和实践者能够从多个维度理解多感官教学的影响，进而在未来的教学设计和实施中更好地利用这种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综上所述，多感官教学对于提升学生模型建构能力的显著作用已经通过各项评价得到了充分的证实。这种教学方法不仅提高了学生的学习效率和兴趣，还促进了教师教学策略的优化和专业成长。未来的教学实践和研究应继续探索多感官教学在不同学科和教育阶段中的应用，以实现对学生全面发展的更有效支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五、结论与建议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当今教育领域，多感官教学法因其独特的教学效果而备受关注。这种教学方法通过刺激学生的视觉、听觉、触觉等多种感觉器官，使得学习内容更加生动、形象，从而大大提高了学习的效率和趣味性。在初中生物教学中，多感官教学的应用尤为重要，因为生物学是一门既抽象又具体的科学，涉及大量复杂的概念和生命现象。通过多感官教学，学生可以更好地理解和掌握这些复杂的概念和过程，进而提升他们的模型建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多感官教学在提高学生模型建构能力方面的显著效果，主要得益于其能够为学生提供丰富的学习体验。</w:t>
      </w:r>
      <w:r>
        <w:rPr>
          <w:rFonts w:hint="eastAsia"/>
          <w:b w:val="0"/>
          <w:bCs w:val="0"/>
          <w:color w:val="auto"/>
          <w:sz w:val="24"/>
          <w:szCs w:val="24"/>
          <w:lang w:val="en-US" w:eastAsia="zh-CN"/>
        </w:rPr>
        <w:t>在学习关节的结构时，教师通过展示图像和视频资料，让学生通过触摸和制作关节模型，深入理解关节的构造和功能，从而全面掌握关节在人体活动中的重要作用。</w:t>
      </w:r>
      <w:r>
        <w:rPr>
          <w:rFonts w:hint="eastAsia"/>
          <w:b w:val="0"/>
          <w:bCs w:val="0"/>
          <w:sz w:val="24"/>
          <w:szCs w:val="24"/>
          <w:lang w:val="en-US" w:eastAsia="zh-CN"/>
        </w:rPr>
        <w:t>这种多感官的学习体验有助于学生在大脑中形成更加完整和立体的知识结构，从而提高他们对生物学概念的理解和应用能力。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实践中，多感官教学的成功案例不胜枚举。以某初中的生物课堂为例，教师为了教授光合作用的概念，设计了一系列多感官教学活动。首先，教师使用动画视频详细解释了光合作用的过程，利用视觉效果帮助学生形成初步理解。接着，通过实验室活动，让学生亲自操作，观察植物叶片在不同光照条件下的变化，通过触觉和视觉双重体验加深理解。最后，教师引导学生进行角色扮演游戏，模拟光合作用过程中的各种分子和能量转换，通过听觉和动作的参与，进一步巩固了学生的知识理解。这一系列多感官教学活动不仅提高了学生的学习兴趣，而且使他们能够更深入地理解光合作用的复杂过程，显著提升了他们的模型建构能力</w:t>
      </w:r>
      <w:r>
        <w:rPr>
          <w:rFonts w:hint="eastAsia"/>
          <w:b w:val="0"/>
          <w:bCs w:val="0"/>
          <w:sz w:val="24"/>
          <w:szCs w:val="24"/>
          <w:vertAlign w:val="superscript"/>
          <w:lang w:val="en-US" w:eastAsia="zh-CN"/>
        </w:rPr>
        <w:t>【6】</w: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未来的研究应进一步探讨多感官教学在不同学科和年级中的应用效果，特别是如何根据学生的认知发展阶段和学习需求，有效整合多感官教学策略，以促进学生全面发展。此外，还需关注多感官教学对教师教学技能和专业发展的影响，研究如何通过教师培训和专业发展活动，提高教师运用多感官教学法的能力，从而为教育实践提供更加全面和深入的指导和建议。通过这些研究，我们可以更好地理解和利用多感官教学的潜力，为学生提供更加丰富和有效的学习体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本研究通过深入分析和实践探索，证明了多感官教学在初中生物教育中的有效性，特别是对于提升学生的模型建构能力和学习兴趣具有显著影响。多感官教学作为一种全面、互动的教学方法，能够为学生提供丰富的学习体验，促进学生对生物学知识的深入理解。因此，推广和应用多感官教学，不仅可以提高教学效果，还有助于培养学生的综合素质和创新能力。未来教育实践和研究应继续探索多感官教学的更多可能性，以实现教学方法的创新与学生能力的全面提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赵露.新课程背景下模型建构在初中生物教学中的应用[D].信阳师范学院,2019.</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赵欢.模型构建在初中生物教学中的应用[J].林区教学,2016,(12):82-83.</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安小娜.初中生物模型建构能力的培养[J].教育实践与研究(B),2023,(09):40-43.DOI:10.14160/j.cnki.13-1259/g4-b.2023.09.009.</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徐婷.生物学项目化学习中学生模型建构能力的多元培育路径[J].江苏教育,2023,(29):14-17+23.</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丁玉祥,孙传友.基于项目化学习的初中生生物学模型建构能力培育[J].江苏教育,2023,(29):6.</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曹峰丽.多感官教学策略在初中生物教学中的应用研究[D].南京师范大学,2017.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AF938"/>
    <w:multiLevelType w:val="singleLevel"/>
    <w:tmpl w:val="4BAAF9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zNiNWNlNGMzZDQ5ZWJmZDM0MmVjMDUxNzJkMjIifQ=="/>
    <w:docVar w:name="KSO_WPS_MARK_KEY" w:val="37518f2f-cedf-4bef-961a-091c6bb18934"/>
  </w:docVars>
  <w:rsids>
    <w:rsidRoot w:val="5B787DF7"/>
    <w:rsid w:val="113116F7"/>
    <w:rsid w:val="11B114AC"/>
    <w:rsid w:val="21672F53"/>
    <w:rsid w:val="26CB5156"/>
    <w:rsid w:val="3F027B62"/>
    <w:rsid w:val="501516A2"/>
    <w:rsid w:val="5B787DF7"/>
    <w:rsid w:val="64E0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无格式表格 31"/>
    <w:basedOn w:val="2"/>
    <w:qFormat/>
    <w:uiPriority w:val="0"/>
    <w:rPr>
      <w:rFonts w:hint="eastAsia"/>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6019</Words>
  <Characters>6233</Characters>
  <Lines>0</Lines>
  <Paragraphs>0</Paragraphs>
  <TotalTime>0</TotalTime>
  <ScaleCrop>false</ScaleCrop>
  <LinksUpToDate>false</LinksUpToDate>
  <CharactersWithSpaces>6236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2024-02-23T03:10:00Z</dcterms:created>
  <dc:creator>荒妙</dc:creator>
  <cp:lastModifiedBy>八两</cp:lastModifiedBy>
  <dcterms:modified xsi:type="dcterms:W3CDTF">2024-02-27T00:33:48Z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9655F3A804134E36B203283FAD909322_13</vt:lpwstr>
  </property>
</Properties>
</file>