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69C08D">
      <w:pPr>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教学改革与教师发展的新路径——作业设计研究</w:t>
      </w:r>
    </w:p>
    <w:p w14:paraId="6E60D2C9">
      <w:pPr>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——读《活在课堂里》之《从“课例研究”到“作例研究”》想到的</w:t>
      </w:r>
    </w:p>
    <w:p w14:paraId="0957B51D">
      <w:pPr>
        <w:jc w:val="center"/>
        <w:rPr>
          <w:rFonts w:hint="default" w:ascii="黑体" w:hAnsi="黑体" w:eastAsia="黑体" w:cs="黑体"/>
          <w:sz w:val="28"/>
          <w:szCs w:val="28"/>
          <w:lang w:val="en-US" w:eastAsia="zh-CN"/>
        </w:rPr>
      </w:pPr>
      <w:r>
        <w:rPr>
          <w:rFonts w:hint="eastAsia" w:asciiTheme="minorEastAsia" w:hAnsiTheme="minorEastAsia" w:eastAsiaTheme="minorEastAsia" w:cstheme="minorEastAsia"/>
          <w:sz w:val="28"/>
          <w:szCs w:val="28"/>
          <w:lang w:val="en-US" w:eastAsia="zh-CN"/>
        </w:rPr>
        <w:t>礼河实验学校  罗建娟</w:t>
      </w:r>
    </w:p>
    <w:p w14:paraId="14A73E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2021年中共中央颁布的“双减”政策，要求在作业设计时将校内练习巩固与家作书面作业进行合理的时间分配，创新作业的多样形式，起到减负增质的效果，提高教育的高质量发展。</w:t>
      </w:r>
    </w:p>
    <w:p w14:paraId="6799E5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李政涛老师在《活在课堂里》也写到这样一篇文章《</w:t>
      </w:r>
      <w:r>
        <w:rPr>
          <w:rFonts w:hint="eastAsia" w:asciiTheme="minorEastAsia" w:hAnsiTheme="minorEastAsia" w:eastAsiaTheme="minorEastAsia" w:cstheme="minorEastAsia"/>
          <w:sz w:val="24"/>
          <w:szCs w:val="24"/>
          <w:lang w:val="en-US" w:eastAsia="zh-CN"/>
        </w:rPr>
        <w:t>从“课例研究”到“作例研究”：教学改革与教师发展的新路径</w:t>
      </w:r>
      <w:r>
        <w:rPr>
          <w:rFonts w:hint="eastAsia" w:asciiTheme="minorEastAsia" w:hAnsiTheme="minorEastAsia" w:eastAsiaTheme="minorEastAsia" w:cstheme="minorEastAsia"/>
          <w:sz w:val="24"/>
          <w:szCs w:val="24"/>
          <w:lang w:eastAsia="zh-CN"/>
        </w:rPr>
        <w:t>》，强调了作业设计研究的重要性。他提出，做好“作例研究”，需要完成如下任务并具备相应特性：一</w:t>
      </w:r>
      <w:r>
        <w:rPr>
          <w:rFonts w:hint="eastAsia" w:asciiTheme="minorEastAsia" w:hAnsiTheme="minorEastAsia" w:cstheme="minorEastAsia"/>
          <w:sz w:val="24"/>
          <w:szCs w:val="24"/>
          <w:lang w:eastAsia="zh-CN"/>
        </w:rPr>
        <w:t>是</w:t>
      </w:r>
      <w:r>
        <w:rPr>
          <w:rFonts w:hint="eastAsia" w:asciiTheme="minorEastAsia" w:hAnsiTheme="minorEastAsia" w:eastAsiaTheme="minorEastAsia" w:cstheme="minorEastAsia"/>
          <w:sz w:val="24"/>
          <w:szCs w:val="24"/>
          <w:lang w:eastAsia="zh-CN"/>
        </w:rPr>
        <w:t>把握价值原点，而是明晰作业标准，三是坚持问题导向，四是建构作例体系，五</w:t>
      </w:r>
      <w:r>
        <w:rPr>
          <w:rFonts w:hint="eastAsia" w:asciiTheme="minorEastAsia" w:hAnsiTheme="minorEastAsia" w:cstheme="minorEastAsia"/>
          <w:sz w:val="24"/>
          <w:szCs w:val="24"/>
          <w:lang w:eastAsia="zh-CN"/>
        </w:rPr>
        <w:t>是</w:t>
      </w:r>
      <w:r>
        <w:rPr>
          <w:rFonts w:hint="eastAsia" w:asciiTheme="minorEastAsia" w:hAnsiTheme="minorEastAsia" w:eastAsiaTheme="minorEastAsia" w:cstheme="minorEastAsia"/>
          <w:sz w:val="24"/>
          <w:szCs w:val="24"/>
          <w:lang w:eastAsia="zh-CN"/>
        </w:rPr>
        <w:t>探究作例理论。我结合本学期对作业案例的研究，重点从建构作例体系这方面谈谈对作业设计研究的一些想法。</w:t>
      </w:r>
    </w:p>
    <w:p w14:paraId="5A9AB4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（一）作业切入的时机</w:t>
      </w:r>
    </w:p>
    <w:p w14:paraId="142505AE">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drawing>
          <wp:inline distT="0" distB="0" distL="114300" distR="114300">
            <wp:extent cx="4018280" cy="3466465"/>
            <wp:effectExtent l="0" t="0" r="0" b="0"/>
            <wp:docPr id="1026" name="图片 5" descr="双师认定标准(韦恩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5" descr="双师认定标准(韦恩图）"/>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18280" cy="3466465"/>
                    </a:xfrm>
                    <a:prstGeom prst="rect">
                      <a:avLst/>
                    </a:prstGeom>
                    <a:noFill/>
                    <a:ln>
                      <a:noFill/>
                    </a:ln>
                  </pic:spPr>
                </pic:pic>
              </a:graphicData>
            </a:graphic>
          </wp:inline>
        </w:drawing>
      </w:r>
      <w:r>
        <w:rPr>
          <w:rFonts w:hint="eastAsia" w:asciiTheme="minorEastAsia" w:hAnsiTheme="minorEastAsia" w:eastAsiaTheme="minorEastAsia" w:cstheme="minorEastAsia"/>
          <w:lang w:val="en-US" w:eastAsia="zh-CN"/>
        </w:rPr>
        <w:t xml:space="preserve"> </w:t>
      </w:r>
    </w:p>
    <w:p w14:paraId="4DE4667F">
      <w:pPr>
        <w:ind w:firstLine="48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z w:val="24"/>
          <w:szCs w:val="24"/>
          <w:lang w:val="en-US" w:eastAsia="zh-CN"/>
        </w:rPr>
        <w:t>作业设计，涵盖学习的各个时段，如课前预习、课中体验、课后探究等。</w:t>
      </w:r>
    </w:p>
    <w:p w14:paraId="0516D6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（二）作业设计列举</w:t>
      </w:r>
    </w:p>
    <w:p w14:paraId="0C0F6F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1.预习评估性作业</w:t>
      </w:r>
    </w:p>
    <w:p w14:paraId="59A83F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24"/>
          <w:lang w:eastAsia="zh-CN"/>
        </w:rPr>
        <w:t>语文教师在确定作业内容与作业活动之前要前置对学生的评估，在作业评估方面，可以设计作业预学单，检查学生基础知识的掌握情况及实践观察能力。遵从大概念教学下的整体性原则，为逆向设计的第三阶段设计学习体验和教学做铺垫。以部编版小学语文三上第五单元为例：</w:t>
      </w:r>
    </w:p>
    <w:tbl>
      <w:tblPr>
        <w:tblStyle w:val="2"/>
        <w:tblW w:w="0" w:type="auto"/>
        <w:tblInd w:w="2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4"/>
        <w:gridCol w:w="1275"/>
        <w:gridCol w:w="5548"/>
      </w:tblGrid>
      <w:tr w14:paraId="0D07A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7" w:type="dxa"/>
            <w:gridSpan w:val="3"/>
            <w:shd w:val="clear" w:color="auto" w:fill="auto"/>
            <w:noWrap w:val="0"/>
            <w:vAlign w:val="top"/>
          </w:tcPr>
          <w:p w14:paraId="0523552C">
            <w:pPr>
              <w:spacing w:line="360" w:lineRule="auto"/>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
                <w:bCs/>
                <w:sz w:val="24"/>
              </w:rPr>
              <w:t>部编版</w:t>
            </w:r>
            <w:r>
              <w:rPr>
                <w:rFonts w:hint="eastAsia" w:asciiTheme="minorEastAsia" w:hAnsiTheme="minorEastAsia" w:eastAsiaTheme="minorEastAsia" w:cstheme="minorEastAsia"/>
                <w:b/>
                <w:bCs/>
                <w:sz w:val="24"/>
              </w:rPr>
              <w:t>小学语文</w:t>
            </w:r>
            <w:r>
              <w:rPr>
                <w:rFonts w:hint="eastAsia" w:asciiTheme="minorEastAsia" w:hAnsiTheme="minorEastAsia" w:eastAsiaTheme="minorEastAsia" w:cstheme="minorEastAsia"/>
                <w:b/>
                <w:bCs/>
                <w:sz w:val="24"/>
              </w:rPr>
              <w:t>三上第五单元</w:t>
            </w:r>
            <w:r>
              <w:rPr>
                <w:rFonts w:hint="eastAsia" w:asciiTheme="minorEastAsia" w:hAnsiTheme="minorEastAsia" w:eastAsiaTheme="minorEastAsia" w:cstheme="minorEastAsia"/>
                <w:b/>
                <w:bCs/>
                <w:sz w:val="24"/>
              </w:rPr>
              <w:t>预学作业单</w:t>
            </w:r>
          </w:p>
        </w:tc>
      </w:tr>
      <w:tr w14:paraId="599B7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4" w:type="dxa"/>
            <w:vMerge w:val="restart"/>
            <w:shd w:val="clear" w:color="auto" w:fill="auto"/>
            <w:noWrap w:val="0"/>
            <w:vAlign w:val="top"/>
          </w:tcPr>
          <w:p w14:paraId="2E52F55A">
            <w:pPr>
              <w:spacing w:line="360" w:lineRule="auto"/>
              <w:jc w:val="center"/>
              <w:rPr>
                <w:rFonts w:hint="eastAsia" w:asciiTheme="minorEastAsia" w:hAnsiTheme="minorEastAsia" w:eastAsiaTheme="minorEastAsia" w:cstheme="minorEastAsia"/>
                <w:sz w:val="24"/>
              </w:rPr>
            </w:pPr>
          </w:p>
          <w:p w14:paraId="774F41A6">
            <w:pPr>
              <w:spacing w:line="360" w:lineRule="auto"/>
              <w:jc w:val="center"/>
              <w:rPr>
                <w:rFonts w:hint="eastAsia" w:asciiTheme="minorEastAsia" w:hAnsiTheme="minorEastAsia" w:eastAsiaTheme="minorEastAsia" w:cstheme="minorEastAsia"/>
                <w:sz w:val="24"/>
              </w:rPr>
            </w:pPr>
          </w:p>
          <w:p w14:paraId="0E572CC7">
            <w:pPr>
              <w:spacing w:line="360" w:lineRule="auto"/>
              <w:jc w:val="center"/>
              <w:rPr>
                <w:rFonts w:hint="eastAsia" w:asciiTheme="minorEastAsia" w:hAnsiTheme="minorEastAsia" w:eastAsiaTheme="minorEastAsia" w:cstheme="minorEastAsia"/>
                <w:sz w:val="24"/>
              </w:rPr>
            </w:pPr>
          </w:p>
          <w:p w14:paraId="6C567838">
            <w:pPr>
              <w:spacing w:line="360" w:lineRule="auto"/>
              <w:jc w:val="center"/>
              <w:rPr>
                <w:rFonts w:hint="eastAsia" w:asciiTheme="minorEastAsia" w:hAnsiTheme="minorEastAsia" w:eastAsiaTheme="minorEastAsia" w:cstheme="minorEastAsia"/>
                <w:sz w:val="24"/>
              </w:rPr>
            </w:pPr>
          </w:p>
          <w:p w14:paraId="6921E07D">
            <w:pPr>
              <w:spacing w:line="360" w:lineRule="auto"/>
              <w:jc w:val="center"/>
              <w:rPr>
                <w:rFonts w:hint="eastAsia" w:asciiTheme="minorEastAsia" w:hAnsiTheme="minorEastAsia" w:eastAsiaTheme="minorEastAsia" w:cstheme="minorEastAsia"/>
                <w:sz w:val="24"/>
              </w:rPr>
            </w:pPr>
          </w:p>
          <w:p w14:paraId="25437B5A">
            <w:pPr>
              <w:spacing w:line="360" w:lineRule="auto"/>
              <w:jc w:val="center"/>
              <w:rPr>
                <w:rFonts w:hint="eastAsia" w:asciiTheme="minorEastAsia" w:hAnsiTheme="minorEastAsia" w:eastAsiaTheme="minorEastAsia" w:cstheme="minorEastAsia"/>
                <w:sz w:val="24"/>
              </w:rPr>
            </w:pPr>
          </w:p>
          <w:p w14:paraId="65404217">
            <w:pPr>
              <w:spacing w:line="360" w:lineRule="auto"/>
              <w:jc w:val="center"/>
              <w:rPr>
                <w:rFonts w:hint="eastAsia" w:asciiTheme="minorEastAsia" w:hAnsiTheme="minorEastAsia" w:eastAsiaTheme="minorEastAsia" w:cstheme="minorEastAsia"/>
                <w:sz w:val="24"/>
              </w:rPr>
            </w:pPr>
          </w:p>
          <w:p w14:paraId="4D0E4E63">
            <w:pPr>
              <w:spacing w:line="360" w:lineRule="auto"/>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课内线索</w:t>
            </w:r>
          </w:p>
          <w:p w14:paraId="4D2BD98C">
            <w:pPr>
              <w:spacing w:line="360" w:lineRule="auto"/>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
                <w:bCs/>
                <w:sz w:val="24"/>
              </w:rPr>
              <w:t>大追踪</w:t>
            </w:r>
          </w:p>
        </w:tc>
        <w:tc>
          <w:tcPr>
            <w:tcW w:w="1275" w:type="dxa"/>
            <w:shd w:val="clear" w:color="auto" w:fill="auto"/>
            <w:noWrap w:val="0"/>
            <w:vAlign w:val="top"/>
          </w:tcPr>
          <w:p w14:paraId="7923E79B">
            <w:pPr>
              <w:spacing w:line="360" w:lineRule="auto"/>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熟读课文</w:t>
            </w:r>
          </w:p>
        </w:tc>
        <w:tc>
          <w:tcPr>
            <w:tcW w:w="5548" w:type="dxa"/>
            <w:shd w:val="clear" w:color="auto" w:fill="auto"/>
            <w:noWrap w:val="0"/>
            <w:vAlign w:val="top"/>
          </w:tcPr>
          <w:p w14:paraId="14D33026">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1.本单元共有</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篇课文，分别是</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w:t>
            </w:r>
          </w:p>
        </w:tc>
      </w:tr>
      <w:tr w14:paraId="0A96F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4" w:type="dxa"/>
            <w:vMerge w:val="continue"/>
            <w:shd w:val="clear" w:color="auto" w:fill="auto"/>
            <w:noWrap w:val="0"/>
            <w:vAlign w:val="top"/>
          </w:tcPr>
          <w:p w14:paraId="73BC6893">
            <w:pPr>
              <w:spacing w:line="360" w:lineRule="auto"/>
              <w:jc w:val="center"/>
              <w:rPr>
                <w:rFonts w:hint="eastAsia" w:asciiTheme="minorEastAsia" w:hAnsiTheme="minorEastAsia" w:eastAsiaTheme="minorEastAsia" w:cstheme="minorEastAsia"/>
                <w:sz w:val="24"/>
              </w:rPr>
            </w:pPr>
          </w:p>
        </w:tc>
        <w:tc>
          <w:tcPr>
            <w:tcW w:w="1275" w:type="dxa"/>
            <w:shd w:val="clear" w:color="auto" w:fill="auto"/>
            <w:noWrap w:val="0"/>
            <w:vAlign w:val="top"/>
          </w:tcPr>
          <w:p w14:paraId="5C59E1A0">
            <w:pPr>
              <w:spacing w:line="360" w:lineRule="auto"/>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预习字词</w:t>
            </w:r>
          </w:p>
        </w:tc>
        <w:tc>
          <w:tcPr>
            <w:tcW w:w="5548" w:type="dxa"/>
            <w:shd w:val="clear" w:color="auto" w:fill="auto"/>
            <w:noWrap w:val="0"/>
            <w:vAlign w:val="top"/>
          </w:tcPr>
          <w:p w14:paraId="3C2437D0">
            <w:pPr>
              <w:numPr>
                <w:ilvl w:val="0"/>
                <w:numId w:val="1"/>
              </w:numPr>
              <w:spacing w:line="360" w:lineRule="auto"/>
              <w:rPr>
                <w:rFonts w:hint="eastAsia" w:asciiTheme="minorEastAsia" w:hAnsiTheme="minorEastAsia" w:eastAsiaTheme="minorEastAsia" w:cstheme="minorEastAsia"/>
                <w:sz w:val="24"/>
                <w:u w:val="single"/>
              </w:rPr>
            </w:pPr>
            <w:r>
              <w:rPr>
                <w:rFonts w:hint="eastAsia" w:asciiTheme="minorEastAsia" w:hAnsiTheme="minorEastAsia" w:eastAsiaTheme="minorEastAsia" w:cstheme="minorEastAsia"/>
                <w:sz w:val="24"/>
              </w:rPr>
              <w:t>圈画文中生字词，利用查字典、联系上下文、联系生活等方法，我理解了</w:t>
            </w:r>
            <w:r>
              <w:rPr>
                <w:rFonts w:hint="eastAsia" w:asciiTheme="minorEastAsia" w:hAnsiTheme="minorEastAsia" w:eastAsiaTheme="minorEastAsia" w:cstheme="minorEastAsia"/>
                <w:sz w:val="24"/>
                <w:u w:val="single"/>
              </w:rPr>
              <w:t xml:space="preserve">                   </w:t>
            </w:r>
          </w:p>
          <w:p w14:paraId="0D1FF2BD">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的意思。</w:t>
            </w:r>
          </w:p>
          <w:p w14:paraId="3A5287D8">
            <w:pPr>
              <w:numPr>
                <w:ilvl w:val="0"/>
                <w:numId w:val="1"/>
              </w:num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预习后，我觉得难读的字词有</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w:t>
            </w:r>
          </w:p>
          <w:p w14:paraId="355E8DA4">
            <w:pPr>
              <w:numPr>
                <w:ilvl w:val="0"/>
                <w:numId w:val="1"/>
              </w:num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本单元的生字，我觉得容易写错的或者难书写的字有</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w:t>
            </w:r>
          </w:p>
        </w:tc>
      </w:tr>
      <w:tr w14:paraId="7F3C0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4" w:type="dxa"/>
            <w:vMerge w:val="continue"/>
            <w:shd w:val="clear" w:color="auto" w:fill="auto"/>
            <w:noWrap w:val="0"/>
            <w:vAlign w:val="top"/>
          </w:tcPr>
          <w:p w14:paraId="17E55B11">
            <w:pPr>
              <w:spacing w:line="360" w:lineRule="auto"/>
              <w:jc w:val="center"/>
              <w:rPr>
                <w:rFonts w:hint="eastAsia" w:asciiTheme="minorEastAsia" w:hAnsiTheme="minorEastAsia" w:eastAsiaTheme="minorEastAsia" w:cstheme="minorEastAsia"/>
                <w:sz w:val="24"/>
              </w:rPr>
            </w:pPr>
          </w:p>
        </w:tc>
        <w:tc>
          <w:tcPr>
            <w:tcW w:w="1275" w:type="dxa"/>
            <w:shd w:val="clear" w:color="auto" w:fill="auto"/>
            <w:noWrap w:val="0"/>
            <w:vAlign w:val="top"/>
          </w:tcPr>
          <w:p w14:paraId="7EEDBD5B">
            <w:pPr>
              <w:spacing w:line="360" w:lineRule="auto"/>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内容感知</w:t>
            </w:r>
          </w:p>
        </w:tc>
        <w:tc>
          <w:tcPr>
            <w:tcW w:w="5548" w:type="dxa"/>
            <w:shd w:val="clear" w:color="auto" w:fill="auto"/>
            <w:noWrap w:val="0"/>
            <w:vAlign w:val="top"/>
          </w:tcPr>
          <w:p w14:paraId="7B822358">
            <w:pPr>
              <w:numPr>
                <w:ilvl w:val="0"/>
                <w:numId w:val="2"/>
              </w:num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通过熟读课文，我知道本单元中的作家们发现了</w:t>
            </w:r>
          </w:p>
          <w:p w14:paraId="66F05552">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的美。</w:t>
            </w:r>
          </w:p>
        </w:tc>
      </w:tr>
      <w:tr w14:paraId="0228C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4" w:type="dxa"/>
            <w:vMerge w:val="continue"/>
            <w:shd w:val="clear" w:color="auto" w:fill="auto"/>
            <w:noWrap w:val="0"/>
            <w:vAlign w:val="top"/>
          </w:tcPr>
          <w:p w14:paraId="726943CE">
            <w:pPr>
              <w:spacing w:line="360" w:lineRule="auto"/>
              <w:jc w:val="center"/>
              <w:rPr>
                <w:rFonts w:hint="eastAsia" w:asciiTheme="minorEastAsia" w:hAnsiTheme="minorEastAsia" w:eastAsiaTheme="minorEastAsia" w:cstheme="minorEastAsia"/>
                <w:sz w:val="24"/>
              </w:rPr>
            </w:pPr>
          </w:p>
        </w:tc>
        <w:tc>
          <w:tcPr>
            <w:tcW w:w="1275" w:type="dxa"/>
            <w:shd w:val="clear" w:color="auto" w:fill="auto"/>
            <w:noWrap w:val="0"/>
            <w:vAlign w:val="top"/>
          </w:tcPr>
          <w:p w14:paraId="0441BCA3">
            <w:pPr>
              <w:spacing w:line="360" w:lineRule="auto"/>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阅读质疑</w:t>
            </w:r>
          </w:p>
        </w:tc>
        <w:tc>
          <w:tcPr>
            <w:tcW w:w="5548" w:type="dxa"/>
            <w:shd w:val="clear" w:color="auto" w:fill="auto"/>
            <w:noWrap w:val="0"/>
            <w:vAlign w:val="top"/>
          </w:tcPr>
          <w:p w14:paraId="3E37638A">
            <w:pPr>
              <w:numPr>
                <w:ilvl w:val="0"/>
                <w:numId w:val="3"/>
              </w:num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单元整体预学中，你有哪些不懂的地方或者疑问，请逐条写下来。</w:t>
            </w:r>
          </w:p>
          <w:p w14:paraId="5406FB08">
            <w:pPr>
              <w:spacing w:line="360" w:lineRule="auto"/>
              <w:rPr>
                <w:rFonts w:hint="eastAsia" w:asciiTheme="minorEastAsia" w:hAnsiTheme="minorEastAsia" w:eastAsiaTheme="minorEastAsia" w:cstheme="minorEastAsia"/>
                <w:sz w:val="24"/>
                <w:u w:val="single"/>
              </w:rPr>
            </w:pPr>
            <w:r>
              <w:rPr>
                <w:rFonts w:hint="eastAsia" w:asciiTheme="minorEastAsia" w:hAnsiTheme="minorEastAsia" w:eastAsiaTheme="minorEastAsia" w:cstheme="minorEastAsia"/>
                <w:sz w:val="24"/>
                <w:u w:val="single"/>
              </w:rPr>
              <w:t xml:space="preserve">                                 </w:t>
            </w:r>
          </w:p>
          <w:p w14:paraId="02A70071">
            <w:pPr>
              <w:spacing w:line="360" w:lineRule="auto"/>
              <w:rPr>
                <w:rFonts w:hint="eastAsia" w:asciiTheme="minorEastAsia" w:hAnsiTheme="minorEastAsia" w:eastAsiaTheme="minorEastAsia" w:cstheme="minorEastAsia"/>
                <w:sz w:val="24"/>
                <w:u w:val="single"/>
              </w:rPr>
            </w:pPr>
            <w:r>
              <w:rPr>
                <w:rFonts w:hint="eastAsia" w:asciiTheme="minorEastAsia" w:hAnsiTheme="minorEastAsia" w:eastAsiaTheme="minorEastAsia" w:cstheme="minorEastAsia"/>
                <w:sz w:val="24"/>
                <w:u w:val="single"/>
              </w:rPr>
              <w:t xml:space="preserve">                                 </w:t>
            </w:r>
          </w:p>
          <w:p w14:paraId="2749DA0B">
            <w:pPr>
              <w:spacing w:line="360" w:lineRule="auto"/>
              <w:rPr>
                <w:rFonts w:hint="eastAsia" w:asciiTheme="minorEastAsia" w:hAnsiTheme="minorEastAsia" w:eastAsiaTheme="minorEastAsia" w:cstheme="minorEastAsia"/>
                <w:sz w:val="24"/>
                <w:u w:val="single"/>
              </w:rPr>
            </w:pPr>
            <w:r>
              <w:rPr>
                <w:rFonts w:hint="eastAsia" w:asciiTheme="minorEastAsia" w:hAnsiTheme="minorEastAsia" w:eastAsiaTheme="minorEastAsia" w:cstheme="minorEastAsia"/>
                <w:sz w:val="24"/>
                <w:u w:val="single"/>
              </w:rPr>
              <w:t xml:space="preserve">                                 </w:t>
            </w:r>
          </w:p>
        </w:tc>
      </w:tr>
      <w:tr w14:paraId="14842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4" w:type="dxa"/>
            <w:shd w:val="clear" w:color="auto" w:fill="auto"/>
            <w:noWrap w:val="0"/>
            <w:vAlign w:val="top"/>
          </w:tcPr>
          <w:p w14:paraId="07CE79DD">
            <w:pPr>
              <w:spacing w:line="360" w:lineRule="auto"/>
              <w:jc w:val="center"/>
              <w:rPr>
                <w:rFonts w:hint="eastAsia" w:asciiTheme="minorEastAsia" w:hAnsiTheme="minorEastAsia" w:eastAsiaTheme="minorEastAsia" w:cstheme="minorEastAsia"/>
                <w:sz w:val="24"/>
              </w:rPr>
            </w:pPr>
          </w:p>
          <w:p w14:paraId="151284BA">
            <w:pPr>
              <w:spacing w:line="360" w:lineRule="auto"/>
              <w:jc w:val="center"/>
              <w:rPr>
                <w:rFonts w:hint="eastAsia" w:asciiTheme="minorEastAsia" w:hAnsiTheme="minorEastAsia" w:eastAsiaTheme="minorEastAsia" w:cstheme="minorEastAsia"/>
                <w:sz w:val="24"/>
              </w:rPr>
            </w:pPr>
          </w:p>
          <w:p w14:paraId="000DC08A">
            <w:pPr>
              <w:spacing w:line="360" w:lineRule="auto"/>
              <w:jc w:val="center"/>
              <w:rPr>
                <w:rFonts w:hint="eastAsia" w:asciiTheme="minorEastAsia" w:hAnsiTheme="minorEastAsia" w:eastAsiaTheme="minorEastAsia" w:cstheme="minorEastAsia"/>
                <w:sz w:val="24"/>
              </w:rPr>
            </w:pPr>
          </w:p>
          <w:p w14:paraId="1E0A378B">
            <w:pPr>
              <w:spacing w:line="360" w:lineRule="auto"/>
              <w:jc w:val="center"/>
              <w:rPr>
                <w:rFonts w:hint="eastAsia" w:asciiTheme="minorEastAsia" w:hAnsiTheme="minorEastAsia" w:eastAsiaTheme="minorEastAsia" w:cstheme="minorEastAsia"/>
                <w:sz w:val="24"/>
              </w:rPr>
            </w:pPr>
          </w:p>
          <w:p w14:paraId="3451922E">
            <w:pPr>
              <w:spacing w:line="360" w:lineRule="auto"/>
              <w:jc w:val="center"/>
              <w:rPr>
                <w:rFonts w:hint="eastAsia" w:asciiTheme="minorEastAsia" w:hAnsiTheme="minorEastAsia" w:eastAsiaTheme="minorEastAsia" w:cstheme="minorEastAsia"/>
                <w:sz w:val="24"/>
              </w:rPr>
            </w:pPr>
          </w:p>
          <w:p w14:paraId="39020A11">
            <w:pPr>
              <w:spacing w:line="360" w:lineRule="auto"/>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课外线索</w:t>
            </w:r>
          </w:p>
          <w:p w14:paraId="4C295B42">
            <w:pPr>
              <w:spacing w:line="360" w:lineRule="auto"/>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
                <w:bCs/>
                <w:sz w:val="24"/>
              </w:rPr>
              <w:t>大追踪</w:t>
            </w:r>
          </w:p>
        </w:tc>
        <w:tc>
          <w:tcPr>
            <w:tcW w:w="1275" w:type="dxa"/>
            <w:shd w:val="clear" w:color="auto" w:fill="auto"/>
            <w:noWrap w:val="0"/>
            <w:vAlign w:val="top"/>
          </w:tcPr>
          <w:p w14:paraId="4209DDC0">
            <w:pPr>
              <w:spacing w:line="360" w:lineRule="auto"/>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找寻美处</w:t>
            </w:r>
          </w:p>
        </w:tc>
        <w:tc>
          <w:tcPr>
            <w:tcW w:w="5548" w:type="dxa"/>
            <w:shd w:val="clear" w:color="auto" w:fill="auto"/>
            <w:noWrap w:val="0"/>
            <w:vAlign w:val="top"/>
          </w:tcPr>
          <w:p w14:paraId="00DEAF0B">
            <w:pPr>
              <w:numPr>
                <w:ilvl w:val="0"/>
                <w:numId w:val="4"/>
              </w:num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在你的日常生活中，你发现了什么之美。</w:t>
            </w:r>
          </w:p>
          <w:tbl>
            <w:tblPr>
              <w:tblStyle w:val="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1975"/>
            </w:tblGrid>
            <w:tr w14:paraId="3A881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50" w:type="dxa"/>
                  <w:gridSpan w:val="2"/>
                  <w:shd w:val="clear" w:color="auto" w:fill="auto"/>
                  <w:noWrap w:val="0"/>
                  <w:vAlign w:val="top"/>
                </w:tcPr>
                <w:p w14:paraId="54A07728">
                  <w:pPr>
                    <w:spacing w:line="360" w:lineRule="auto"/>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我发现的美</w:t>
                  </w:r>
                </w:p>
              </w:tc>
            </w:tr>
            <w:tr w14:paraId="6792F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shd w:val="clear" w:color="auto" w:fill="auto"/>
                  <w:noWrap w:val="0"/>
                  <w:vAlign w:val="top"/>
                </w:tcPr>
                <w:p w14:paraId="3C102D11">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场景</w:t>
                  </w:r>
                </w:p>
              </w:tc>
              <w:tc>
                <w:tcPr>
                  <w:tcW w:w="1975" w:type="dxa"/>
                  <w:shd w:val="clear" w:color="auto" w:fill="auto"/>
                  <w:noWrap w:val="0"/>
                  <w:vAlign w:val="top"/>
                </w:tcPr>
                <w:p w14:paraId="65E510C5">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事物（动、植物）</w:t>
                  </w:r>
                </w:p>
              </w:tc>
            </w:tr>
            <w:tr w14:paraId="784FB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shd w:val="clear" w:color="auto" w:fill="auto"/>
                  <w:noWrap w:val="0"/>
                  <w:vAlign w:val="top"/>
                </w:tcPr>
                <w:p w14:paraId="30FB4981">
                  <w:pPr>
                    <w:spacing w:line="360" w:lineRule="auto"/>
                    <w:rPr>
                      <w:rFonts w:hint="eastAsia" w:asciiTheme="minorEastAsia" w:hAnsiTheme="minorEastAsia" w:eastAsiaTheme="minorEastAsia" w:cstheme="minorEastAsia"/>
                      <w:sz w:val="24"/>
                    </w:rPr>
                  </w:pPr>
                </w:p>
              </w:tc>
              <w:tc>
                <w:tcPr>
                  <w:tcW w:w="1975" w:type="dxa"/>
                  <w:shd w:val="clear" w:color="auto" w:fill="auto"/>
                  <w:noWrap w:val="0"/>
                  <w:vAlign w:val="top"/>
                </w:tcPr>
                <w:p w14:paraId="28D6E0B6">
                  <w:pPr>
                    <w:spacing w:line="360" w:lineRule="auto"/>
                    <w:rPr>
                      <w:rFonts w:hint="eastAsia" w:asciiTheme="minorEastAsia" w:hAnsiTheme="minorEastAsia" w:eastAsiaTheme="minorEastAsia" w:cstheme="minorEastAsia"/>
                      <w:sz w:val="24"/>
                    </w:rPr>
                  </w:pPr>
                </w:p>
              </w:tc>
            </w:tr>
            <w:tr w14:paraId="318DB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shd w:val="clear" w:color="auto" w:fill="auto"/>
                  <w:noWrap w:val="0"/>
                  <w:vAlign w:val="top"/>
                </w:tcPr>
                <w:p w14:paraId="2083ACE6">
                  <w:pPr>
                    <w:spacing w:line="360" w:lineRule="auto"/>
                    <w:rPr>
                      <w:rFonts w:hint="eastAsia" w:asciiTheme="minorEastAsia" w:hAnsiTheme="minorEastAsia" w:eastAsiaTheme="minorEastAsia" w:cstheme="minorEastAsia"/>
                      <w:sz w:val="24"/>
                    </w:rPr>
                  </w:pPr>
                </w:p>
              </w:tc>
              <w:tc>
                <w:tcPr>
                  <w:tcW w:w="1975" w:type="dxa"/>
                  <w:shd w:val="clear" w:color="auto" w:fill="auto"/>
                  <w:noWrap w:val="0"/>
                  <w:vAlign w:val="top"/>
                </w:tcPr>
                <w:p w14:paraId="290732D4">
                  <w:pPr>
                    <w:spacing w:line="360" w:lineRule="auto"/>
                    <w:rPr>
                      <w:rFonts w:hint="eastAsia" w:asciiTheme="minorEastAsia" w:hAnsiTheme="minorEastAsia" w:eastAsiaTheme="minorEastAsia" w:cstheme="minorEastAsia"/>
                      <w:sz w:val="24"/>
                    </w:rPr>
                  </w:pPr>
                </w:p>
              </w:tc>
            </w:tr>
          </w:tbl>
          <w:p w14:paraId="0100C03B">
            <w:pPr>
              <w:spacing w:line="360" w:lineRule="auto"/>
              <w:rPr>
                <w:rFonts w:hint="eastAsia" w:asciiTheme="minorEastAsia" w:hAnsiTheme="minorEastAsia" w:eastAsiaTheme="minorEastAsia" w:cstheme="minorEastAsia"/>
                <w:sz w:val="24"/>
              </w:rPr>
            </w:pPr>
          </w:p>
          <w:p w14:paraId="599F228A">
            <w:pPr>
              <w:numPr>
                <w:ilvl w:val="0"/>
                <w:numId w:val="4"/>
              </w:num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选择你觉得最美的一处场景或一件事物，拍下来或者画下来吧！</w:t>
            </w:r>
          </w:p>
        </w:tc>
      </w:tr>
      <w:tr w14:paraId="5BACF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4" w:type="dxa"/>
            <w:vMerge w:val="restart"/>
            <w:shd w:val="clear" w:color="auto" w:fill="auto"/>
            <w:noWrap w:val="0"/>
            <w:vAlign w:val="top"/>
          </w:tcPr>
          <w:p w14:paraId="3A0C95FB">
            <w:pPr>
              <w:spacing w:line="360" w:lineRule="auto"/>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自我评价</w:t>
            </w:r>
          </w:p>
        </w:tc>
        <w:tc>
          <w:tcPr>
            <w:tcW w:w="1275" w:type="dxa"/>
            <w:shd w:val="clear" w:color="auto" w:fill="auto"/>
            <w:noWrap w:val="0"/>
            <w:vAlign w:val="top"/>
          </w:tcPr>
          <w:p w14:paraId="1A9B32C0">
            <w:pPr>
              <w:spacing w:line="360" w:lineRule="auto"/>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熟读课文</w:t>
            </w:r>
          </w:p>
        </w:tc>
        <w:tc>
          <w:tcPr>
            <w:tcW w:w="5548" w:type="dxa"/>
            <w:shd w:val="clear" w:color="auto" w:fill="auto"/>
            <w:noWrap w:val="0"/>
            <w:vAlign w:val="top"/>
          </w:tcPr>
          <w:p w14:paraId="68DFBDFA">
            <w:pPr>
              <w:numPr>
                <w:ilvl w:val="0"/>
                <w:numId w:val="5"/>
              </w:num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课文读得十分流利且有感情。</w:t>
            </w:r>
          </w:p>
          <w:p w14:paraId="34821423">
            <w:pPr>
              <w:numPr>
                <w:ilvl w:val="0"/>
                <w:numId w:val="5"/>
              </w:num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课文读得比较流利，比较有感情。</w:t>
            </w:r>
          </w:p>
          <w:p w14:paraId="26A1F6F1">
            <w:pPr>
              <w:numPr>
                <w:ilvl w:val="0"/>
                <w:numId w:val="5"/>
              </w:num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课文读得不流利，没有感情。</w:t>
            </w:r>
          </w:p>
        </w:tc>
      </w:tr>
      <w:tr w14:paraId="14F26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4" w:type="dxa"/>
            <w:vMerge w:val="continue"/>
            <w:shd w:val="clear" w:color="auto" w:fill="auto"/>
            <w:noWrap w:val="0"/>
            <w:vAlign w:val="top"/>
          </w:tcPr>
          <w:p w14:paraId="0125A2EC">
            <w:pPr>
              <w:spacing w:line="360" w:lineRule="auto"/>
              <w:jc w:val="center"/>
              <w:rPr>
                <w:rFonts w:hint="eastAsia" w:asciiTheme="minorEastAsia" w:hAnsiTheme="minorEastAsia" w:eastAsiaTheme="minorEastAsia" w:cstheme="minorEastAsia"/>
                <w:b/>
                <w:bCs/>
                <w:sz w:val="24"/>
              </w:rPr>
            </w:pPr>
          </w:p>
        </w:tc>
        <w:tc>
          <w:tcPr>
            <w:tcW w:w="1275" w:type="dxa"/>
            <w:shd w:val="clear" w:color="auto" w:fill="auto"/>
            <w:noWrap w:val="0"/>
            <w:vAlign w:val="top"/>
          </w:tcPr>
          <w:p w14:paraId="7A747319">
            <w:pPr>
              <w:spacing w:line="360" w:lineRule="auto"/>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预习字词</w:t>
            </w:r>
          </w:p>
        </w:tc>
        <w:tc>
          <w:tcPr>
            <w:tcW w:w="5548" w:type="dxa"/>
            <w:shd w:val="clear" w:color="auto" w:fill="auto"/>
            <w:noWrap w:val="0"/>
            <w:vAlign w:val="top"/>
          </w:tcPr>
          <w:p w14:paraId="0C2C8637">
            <w:pPr>
              <w:numPr>
                <w:ilvl w:val="0"/>
                <w:numId w:val="6"/>
              </w:num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本单元的生字我都能认识，本单元的四会字我都会写且写得美观。</w:t>
            </w:r>
          </w:p>
          <w:p w14:paraId="1ED5FCC0">
            <w:pPr>
              <w:numPr>
                <w:ilvl w:val="0"/>
                <w:numId w:val="6"/>
              </w:num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本单元的生字我大部分认识，本单元的四会字我大都会写且写得清楚。</w:t>
            </w:r>
          </w:p>
          <w:p w14:paraId="56A8E700">
            <w:pPr>
              <w:numPr>
                <w:ilvl w:val="0"/>
                <w:numId w:val="6"/>
              </w:num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本单元的生字我基本不认识，本单元的四会字有许多不会写且字写得不美观。</w:t>
            </w:r>
          </w:p>
        </w:tc>
      </w:tr>
      <w:tr w14:paraId="064F8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4" w:type="dxa"/>
            <w:vMerge w:val="continue"/>
            <w:shd w:val="clear" w:color="auto" w:fill="auto"/>
            <w:noWrap w:val="0"/>
            <w:vAlign w:val="top"/>
          </w:tcPr>
          <w:p w14:paraId="738BED6A">
            <w:pPr>
              <w:spacing w:line="360" w:lineRule="auto"/>
              <w:jc w:val="center"/>
              <w:rPr>
                <w:rFonts w:hint="eastAsia" w:asciiTheme="minorEastAsia" w:hAnsiTheme="minorEastAsia" w:eastAsiaTheme="minorEastAsia" w:cstheme="minorEastAsia"/>
                <w:b/>
                <w:bCs/>
                <w:sz w:val="24"/>
              </w:rPr>
            </w:pPr>
          </w:p>
        </w:tc>
        <w:tc>
          <w:tcPr>
            <w:tcW w:w="1275" w:type="dxa"/>
            <w:shd w:val="clear" w:color="auto" w:fill="auto"/>
            <w:noWrap w:val="0"/>
            <w:vAlign w:val="top"/>
          </w:tcPr>
          <w:p w14:paraId="14704385">
            <w:pPr>
              <w:spacing w:line="360" w:lineRule="auto"/>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内容感知</w:t>
            </w:r>
          </w:p>
        </w:tc>
        <w:tc>
          <w:tcPr>
            <w:tcW w:w="5548" w:type="dxa"/>
            <w:shd w:val="clear" w:color="auto" w:fill="auto"/>
            <w:noWrap w:val="0"/>
            <w:vAlign w:val="top"/>
          </w:tcPr>
          <w:p w14:paraId="4FAC7C5B">
            <w:pPr>
              <w:numPr>
                <w:ilvl w:val="0"/>
                <w:numId w:val="7"/>
              </w:num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我读完课文，能知道每篇课文是从哪些方面观察了哪些事物的？</w:t>
            </w:r>
          </w:p>
          <w:p w14:paraId="36DF6172">
            <w:pPr>
              <w:numPr>
                <w:ilvl w:val="0"/>
                <w:numId w:val="7"/>
              </w:num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我读完课文，能知道其中几篇课文是从哪些方面观察哪些事物的？</w:t>
            </w:r>
          </w:p>
          <w:p w14:paraId="6A07E98F">
            <w:pPr>
              <w:numPr>
                <w:ilvl w:val="0"/>
                <w:numId w:val="7"/>
              </w:num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我读完课文，不知道课文是从哪些方面观察了哪些事物的？</w:t>
            </w:r>
          </w:p>
        </w:tc>
      </w:tr>
      <w:tr w14:paraId="552C3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4" w:type="dxa"/>
            <w:vMerge w:val="continue"/>
            <w:shd w:val="clear" w:color="auto" w:fill="auto"/>
            <w:noWrap w:val="0"/>
            <w:vAlign w:val="top"/>
          </w:tcPr>
          <w:p w14:paraId="4EA8AC20">
            <w:pPr>
              <w:spacing w:line="360" w:lineRule="auto"/>
              <w:jc w:val="center"/>
              <w:rPr>
                <w:rFonts w:hint="eastAsia" w:asciiTheme="minorEastAsia" w:hAnsiTheme="minorEastAsia" w:eastAsiaTheme="minorEastAsia" w:cstheme="minorEastAsia"/>
                <w:b/>
                <w:bCs/>
                <w:sz w:val="24"/>
              </w:rPr>
            </w:pPr>
          </w:p>
        </w:tc>
        <w:tc>
          <w:tcPr>
            <w:tcW w:w="1275" w:type="dxa"/>
            <w:shd w:val="clear" w:color="auto" w:fill="auto"/>
            <w:noWrap w:val="0"/>
            <w:vAlign w:val="top"/>
          </w:tcPr>
          <w:p w14:paraId="256BCD65">
            <w:pPr>
              <w:spacing w:line="360" w:lineRule="auto"/>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阅读质疑</w:t>
            </w:r>
          </w:p>
        </w:tc>
        <w:tc>
          <w:tcPr>
            <w:tcW w:w="5548" w:type="dxa"/>
            <w:shd w:val="clear" w:color="auto" w:fill="auto"/>
            <w:noWrap w:val="0"/>
            <w:vAlign w:val="top"/>
          </w:tcPr>
          <w:p w14:paraId="0510FF3D">
            <w:pPr>
              <w:numPr>
                <w:ilvl w:val="0"/>
                <w:numId w:val="8"/>
              </w:num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我能认真阅读、思考并提出有价值的问题。</w:t>
            </w:r>
          </w:p>
          <w:p w14:paraId="33F5CC20">
            <w:pPr>
              <w:numPr>
                <w:ilvl w:val="0"/>
                <w:numId w:val="8"/>
              </w:num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我能认真阅读、思考但没有问题可提。</w:t>
            </w:r>
          </w:p>
        </w:tc>
      </w:tr>
      <w:tr w14:paraId="19530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4" w:type="dxa"/>
            <w:vMerge w:val="continue"/>
            <w:shd w:val="clear" w:color="auto" w:fill="auto"/>
            <w:noWrap w:val="0"/>
            <w:vAlign w:val="top"/>
          </w:tcPr>
          <w:p w14:paraId="3781CAB6">
            <w:pPr>
              <w:spacing w:line="360" w:lineRule="auto"/>
              <w:jc w:val="center"/>
              <w:rPr>
                <w:rFonts w:hint="eastAsia" w:asciiTheme="minorEastAsia" w:hAnsiTheme="minorEastAsia" w:eastAsiaTheme="minorEastAsia" w:cstheme="minorEastAsia"/>
                <w:b/>
                <w:bCs/>
                <w:sz w:val="24"/>
              </w:rPr>
            </w:pPr>
          </w:p>
        </w:tc>
        <w:tc>
          <w:tcPr>
            <w:tcW w:w="1275" w:type="dxa"/>
            <w:shd w:val="clear" w:color="auto" w:fill="auto"/>
            <w:noWrap w:val="0"/>
            <w:vAlign w:val="top"/>
          </w:tcPr>
          <w:p w14:paraId="072A1486">
            <w:pPr>
              <w:spacing w:line="360" w:lineRule="auto"/>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寻找美处</w:t>
            </w:r>
          </w:p>
        </w:tc>
        <w:tc>
          <w:tcPr>
            <w:tcW w:w="5548" w:type="dxa"/>
            <w:shd w:val="clear" w:color="auto" w:fill="auto"/>
            <w:noWrap w:val="0"/>
            <w:vAlign w:val="top"/>
          </w:tcPr>
          <w:p w14:paraId="6C3553CE">
            <w:pPr>
              <w:numPr>
                <w:ilvl w:val="0"/>
                <w:numId w:val="9"/>
              </w:num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能认真观察周围的世界，发现事物的美。</w:t>
            </w:r>
          </w:p>
          <w:p w14:paraId="29A07217">
            <w:pPr>
              <w:numPr>
                <w:ilvl w:val="0"/>
                <w:numId w:val="9"/>
              </w:num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能认真观察周围的世界，但没有发现事物的美。</w:t>
            </w:r>
          </w:p>
          <w:p w14:paraId="597764B6">
            <w:pPr>
              <w:numPr>
                <w:ilvl w:val="0"/>
                <w:numId w:val="9"/>
              </w:num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不能认真观察周围的世界，也无法发现事物的美。</w:t>
            </w:r>
          </w:p>
        </w:tc>
      </w:tr>
      <w:tr w14:paraId="0492F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4" w:type="dxa"/>
            <w:shd w:val="clear" w:color="auto" w:fill="auto"/>
            <w:noWrap w:val="0"/>
            <w:vAlign w:val="top"/>
          </w:tcPr>
          <w:p w14:paraId="1034D208">
            <w:pPr>
              <w:spacing w:line="360" w:lineRule="auto"/>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家长评价</w:t>
            </w:r>
          </w:p>
        </w:tc>
        <w:tc>
          <w:tcPr>
            <w:tcW w:w="6823" w:type="dxa"/>
            <w:gridSpan w:val="2"/>
            <w:shd w:val="clear" w:color="auto" w:fill="auto"/>
            <w:noWrap w:val="0"/>
            <w:vAlign w:val="top"/>
          </w:tcPr>
          <w:p w14:paraId="4CF8CF57">
            <w:pPr>
              <w:spacing w:line="360" w:lineRule="auto"/>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tc>
      </w:tr>
      <w:tr w14:paraId="17BD0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4" w:type="dxa"/>
            <w:shd w:val="clear" w:color="auto" w:fill="auto"/>
            <w:noWrap w:val="0"/>
            <w:vAlign w:val="top"/>
          </w:tcPr>
          <w:p w14:paraId="3135DD92">
            <w:pPr>
              <w:spacing w:line="360" w:lineRule="auto"/>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教师评价</w:t>
            </w:r>
          </w:p>
        </w:tc>
        <w:tc>
          <w:tcPr>
            <w:tcW w:w="6823" w:type="dxa"/>
            <w:gridSpan w:val="2"/>
            <w:shd w:val="clear" w:color="auto" w:fill="auto"/>
            <w:noWrap w:val="0"/>
            <w:vAlign w:val="top"/>
          </w:tcPr>
          <w:p w14:paraId="433C0CA4">
            <w:pPr>
              <w:spacing w:line="360" w:lineRule="auto"/>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tc>
      </w:tr>
    </w:tbl>
    <w:p w14:paraId="38326A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2.课中体验性作业</w:t>
      </w:r>
    </w:p>
    <w:p w14:paraId="2E4EA6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（1）部编版三年级语文上册第五单元习作《我们眼中的缤纷世界》</w:t>
      </w:r>
    </w:p>
    <w:p w14:paraId="4CA45AF1">
      <w:pPr>
        <w:numPr>
          <w:ilvl w:val="0"/>
          <w:numId w:val="0"/>
        </w:numPr>
        <w:ind w:left="0" w:leftChars="0"/>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4357370" cy="2126615"/>
            <wp:effectExtent l="0" t="0" r="0" b="0"/>
            <wp:docPr id="3074" name="图片 8" descr="创意环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图片 8" descr="创意环形图"/>
                    <pic:cNvPicPr>
                      <a:picLocks noChangeAspect="1" noChangeArrowheads="1"/>
                    </pic:cNvPicPr>
                  </pic:nvPicPr>
                  <pic:blipFill>
                    <a:blip r:embed="rId5">
                      <a:extLst>
                        <a:ext uri="{28A0092B-C50C-407E-A947-70E740481C1C}">
                          <a14:useLocalDpi xmlns:a14="http://schemas.microsoft.com/office/drawing/2010/main" val="0"/>
                        </a:ext>
                      </a:extLst>
                    </a:blip>
                    <a:srcRect t="15379"/>
                    <a:stretch>
                      <a:fillRect/>
                    </a:stretch>
                  </pic:blipFill>
                  <pic:spPr bwMode="auto">
                    <a:xfrm>
                      <a:off x="0" y="0"/>
                      <a:ext cx="4357370" cy="2126615"/>
                    </a:xfrm>
                    <a:prstGeom prst="rect">
                      <a:avLst/>
                    </a:prstGeom>
                    <a:noFill/>
                    <a:ln>
                      <a:noFill/>
                    </a:ln>
                    <a:effectLst/>
                  </pic:spPr>
                </pic:pic>
              </a:graphicData>
            </a:graphic>
          </wp:inline>
        </w:drawing>
      </w:r>
    </w:p>
    <w:p w14:paraId="52122C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部编版六年级上册《月光曲》</w:t>
      </w:r>
    </w:p>
    <w:p w14:paraId="3E483714">
      <w:pPr>
        <w:numPr>
          <w:ilvl w:val="0"/>
          <w:numId w:val="0"/>
        </w:numPr>
        <w:ind w:left="0" w:leftChars="0"/>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5203190" cy="4347845"/>
            <wp:effectExtent l="9525" t="9525" r="26035" b="241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cstate="print"/>
                    <a:srcRect l="3612" t="4084" r="2300" b="40017"/>
                    <a:stretch>
                      <a:fillRect/>
                    </a:stretch>
                  </pic:blipFill>
                  <pic:spPr>
                    <a:xfrm>
                      <a:off x="0" y="0"/>
                      <a:ext cx="5203190" cy="4347845"/>
                    </a:xfrm>
                    <a:prstGeom prst="rect">
                      <a:avLst/>
                    </a:prstGeom>
                    <a:noFill/>
                    <a:ln w="9525">
                      <a:solidFill>
                        <a:schemeClr val="tx1"/>
                      </a:solidFill>
                      <a:miter lim="800000"/>
                      <a:headEnd/>
                      <a:tailEnd/>
                    </a:ln>
                  </pic:spPr>
                </pic:pic>
              </a:graphicData>
            </a:graphic>
          </wp:inline>
        </w:drawing>
      </w:r>
    </w:p>
    <w:p w14:paraId="27C210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w:t>
      </w:r>
      <w:r>
        <w:rPr>
          <w:rFonts w:hint="eastAsia" w:asciiTheme="minorEastAsia" w:hAnsiTheme="minorEastAsia" w:cstheme="minorEastAsia"/>
          <w:sz w:val="24"/>
          <w:szCs w:val="24"/>
          <w:lang w:val="en-US" w:eastAsia="zh-CN"/>
        </w:rPr>
        <w:t>3</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lang w:eastAsia="zh-CN"/>
        </w:rPr>
        <w:t>每课一播报</w:t>
      </w:r>
    </w:p>
    <w:p w14:paraId="674C53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对于中高年段的学生，每天都会布置一项“新闻播报”的主题任务，让学生通过报纸、上网或新闻联播，关注热点新闻，选择一则新闻，加上对这件事的看法或评论，根据学号在每天语文课上的前三分钟进行演讲，其他同学从演讲者的内容、形式、表达、仪态四个方面进行点评。尤其是结合“小飞侠抽签软件”，让每一个学生每天都有被“抽中”播报或点评的可能性，学生非常重视。</w:t>
      </w:r>
    </w:p>
    <w:p w14:paraId="30A131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3.课后综合性作业</w:t>
      </w:r>
    </w:p>
    <w:p w14:paraId="534283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（1）一起读书吧</w:t>
      </w:r>
    </w:p>
    <w:p w14:paraId="6CE506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每天的阅读作业，要求学生完成“一起读书吧”的任务，挑选一篇喜欢的文章，也可以结合预习的课文，大声读出来，用手机录下来，发布到班级QQ群，让声音和美好一起传递。每个人从文章的内容和形式等方面进行点评，分享“听书”感受。其实，大家选文章、读文章、听文章、评文章的过程就是不断提升“欣赏与表达”水平的过程。为了有效控制上网时间，相约每天下午的5点到6点之间在“学习群”见面，由组长点评并记录每天组员的参与情况。</w:t>
      </w:r>
    </w:p>
    <w:p w14:paraId="1E6F61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排演课本剧</w:t>
      </w:r>
    </w:p>
    <w:p w14:paraId="359C70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说名著感想</w:t>
      </w:r>
    </w:p>
    <w:p w14:paraId="7A28D8BE">
      <w:pPr>
        <w:keepNext w:val="0"/>
        <w:keepLines w:val="0"/>
        <w:pageBreakBefore w:val="0"/>
        <w:widowControl w:val="0"/>
        <w:kinsoku/>
        <w:wordWrap/>
        <w:overflowPunct/>
        <w:topLinePunct w:val="0"/>
        <w:autoSpaceDE/>
        <w:autoSpaceDN/>
        <w:bidi w:val="0"/>
        <w:adjustRightInd/>
        <w:snapToGrid/>
        <w:spacing w:line="360" w:lineRule="auto"/>
        <w:ind w:left="479" w:leftChars="228"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寻找错别字</w:t>
      </w:r>
      <w:r>
        <w:rPr>
          <w:rFonts w:hint="eastAsia" w:asciiTheme="minorEastAsia" w:hAnsiTheme="minorEastAsia" w:eastAsiaTheme="minorEastAsia" w:cstheme="minorEastAsia"/>
          <w:sz w:val="24"/>
          <w:szCs w:val="24"/>
          <w:lang w:val="en-US" w:eastAsia="zh-CN"/>
        </w:rPr>
        <w:br w:type="textWrapping"/>
      </w:r>
      <w:r>
        <w:rPr>
          <w:rFonts w:hint="eastAsia" w:asciiTheme="minorEastAsia" w:hAnsiTheme="minorEastAsia" w:eastAsiaTheme="minorEastAsia" w:cstheme="minorEastAsia"/>
          <w:sz w:val="24"/>
          <w:szCs w:val="24"/>
          <w:lang w:val="en-US" w:eastAsia="zh-CN"/>
        </w:rPr>
        <w:t>（5）跨学科学习</w:t>
      </w:r>
      <w:r>
        <w:rPr>
          <w:rFonts w:hint="eastAsia" w:asciiTheme="minorEastAsia" w:hAnsiTheme="minorEastAsia" w:cstheme="minorEastAsia"/>
          <w:sz w:val="24"/>
          <w:szCs w:val="24"/>
          <w:lang w:val="en-US" w:eastAsia="zh-CN"/>
        </w:rPr>
        <w:t>，如下图：</w:t>
      </w:r>
    </w:p>
    <w:p w14:paraId="355BD462">
      <w:pPr>
        <w:numPr>
          <w:numId w:val="0"/>
        </w:num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5171440" cy="2536190"/>
            <wp:effectExtent l="0" t="0" r="10160" b="165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171440" cy="2536190"/>
                    </a:xfrm>
                    <a:prstGeom prst="rect">
                      <a:avLst/>
                    </a:prstGeom>
                  </pic:spPr>
                </pic:pic>
              </a:graphicData>
            </a:graphic>
          </wp:inline>
        </w:drawing>
      </w:r>
    </w:p>
    <w:p w14:paraId="6E09383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kern w:val="2"/>
          <w:sz w:val="21"/>
          <w:szCs w:val="24"/>
          <w:lang w:val="en-US" w:eastAsia="zh-CN" w:bidi="ar-SA"/>
        </w:rPr>
        <w:t>（三）</w:t>
      </w:r>
      <w:r>
        <w:rPr>
          <w:rFonts w:hint="eastAsia" w:asciiTheme="minorEastAsia" w:hAnsiTheme="minorEastAsia" w:eastAsiaTheme="minorEastAsia" w:cstheme="minorEastAsia"/>
          <w:lang w:val="en-US" w:eastAsia="zh-CN"/>
        </w:rPr>
        <w:t>作业评价列举</w:t>
      </w:r>
    </w:p>
    <w:p w14:paraId="056697B4">
      <w:pPr>
        <w:numPr>
          <w:numId w:val="0"/>
        </w:num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2423795" cy="3038475"/>
            <wp:effectExtent l="0" t="0" r="14605" b="9525"/>
            <wp:docPr id="1028" name="图片 8" descr="QQ图片2015070215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8" descr="QQ图片20150702153411"/>
                    <pic:cNvPicPr>
                      <a:picLocks noChangeAspect="1" noChangeArrowheads="1"/>
                    </pic:cNvPicPr>
                  </pic:nvPicPr>
                  <pic:blipFill>
                    <a:blip r:embed="rId8">
                      <a:extLst>
                        <a:ext uri="{28A0092B-C50C-407E-A947-70E740481C1C}">
                          <a14:useLocalDpi xmlns:a14="http://schemas.microsoft.com/office/drawing/2010/main" val="0"/>
                        </a:ext>
                      </a:extLst>
                    </a:blip>
                    <a:srcRect b="18816"/>
                    <a:stretch>
                      <a:fillRect/>
                    </a:stretch>
                  </pic:blipFill>
                  <pic:spPr bwMode="auto">
                    <a:xfrm>
                      <a:off x="0" y="0"/>
                      <a:ext cx="2423795" cy="3038475"/>
                    </a:xfrm>
                    <a:prstGeom prst="rect">
                      <a:avLst/>
                    </a:prstGeom>
                    <a:noFill/>
                    <a:ln>
                      <a:noFill/>
                    </a:ln>
                    <a:effectLst/>
                  </pic:spPr>
                </pic:pic>
              </a:graphicData>
            </a:graphic>
          </wp:inline>
        </w:drawing>
      </w:r>
      <w:r>
        <w:rPr>
          <w:rFonts w:hint="eastAsia" w:asciiTheme="minorEastAsia" w:hAnsiTheme="minorEastAsia" w:eastAsiaTheme="minorEastAsia" w:cstheme="minorEastAsia"/>
        </w:rPr>
        <w:drawing>
          <wp:inline distT="0" distB="0" distL="114300" distR="114300">
            <wp:extent cx="2531745" cy="3042920"/>
            <wp:effectExtent l="0" t="0" r="1905" b="5080"/>
            <wp:docPr id="1027" name="图片 7" descr="QQ图片2015070215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7" descr="QQ图片20150702153424"/>
                    <pic:cNvPicPr>
                      <a:picLocks noChangeAspect="1" noChangeArrowheads="1"/>
                    </pic:cNvPicPr>
                  </pic:nvPicPr>
                  <pic:blipFill>
                    <a:blip r:embed="rId9">
                      <a:extLst>
                        <a:ext uri="{28A0092B-C50C-407E-A947-70E740481C1C}">
                          <a14:useLocalDpi xmlns:a14="http://schemas.microsoft.com/office/drawing/2010/main" val="0"/>
                        </a:ext>
                      </a:extLst>
                    </a:blip>
                    <a:srcRect t="5353" b="16632"/>
                    <a:stretch>
                      <a:fillRect/>
                    </a:stretch>
                  </pic:blipFill>
                  <pic:spPr bwMode="auto">
                    <a:xfrm>
                      <a:off x="0" y="0"/>
                      <a:ext cx="2531745" cy="3042920"/>
                    </a:xfrm>
                    <a:prstGeom prst="rect">
                      <a:avLst/>
                    </a:prstGeom>
                    <a:noFill/>
                    <a:ln>
                      <a:noFill/>
                    </a:ln>
                    <a:effectLst/>
                  </pic:spPr>
                </pic:pic>
              </a:graphicData>
            </a:graphic>
          </wp:inline>
        </w:drawing>
      </w:r>
      <w:bookmarkStart w:id="0" w:name="_GoBack"/>
      <w:bookmarkEnd w:id="0"/>
    </w:p>
    <w:p w14:paraId="3C68C3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以上是本人一些小小的心得。李政涛老师说：脱胎于“双减”背景下的作业改革，植根且受惠于“课例研究”和“作例研究”的提出，为当代中国教学改革提出了新方向和新路径。我们相信，它的出现、发展和完善，将会进一步撬动学与教的变革。</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Calibri Light">
    <w:panose1 w:val="020F0302020204030204"/>
    <w:charset w:val="00"/>
    <w:family w:val="auto"/>
    <w:pitch w:val="default"/>
    <w:sig w:usb0="A00002EF" w:usb1="4000207B" w:usb2="00000000" w:usb3="00000000" w:csb0="2000019F" w:csb1="00000000"/>
  </w:font>
  <w:font w:name="Wingdings 2">
    <w:panose1 w:val="05020102010507070707"/>
    <w:charset w:val="00"/>
    <w:family w:val="auto"/>
    <w:pitch w:val="default"/>
    <w:sig w:usb0="00000000" w:usb1="00000000" w:usb2="00000000" w:usb3="00000000" w:csb0="80000000" w:csb1="00000000"/>
  </w:font>
  <w:font w:name="Vijaya">
    <w:panose1 w:val="020B0604020202020204"/>
    <w:charset w:val="00"/>
    <w:family w:val="auto"/>
    <w:pitch w:val="default"/>
    <w:sig w:usb0="00100003" w:usb1="00000000" w:usb2="00000000" w:usb3="00000000" w:csb0="0000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96F1F0"/>
    <w:multiLevelType w:val="singleLevel"/>
    <w:tmpl w:val="9296F1F0"/>
    <w:lvl w:ilvl="0" w:tentative="0">
      <w:start w:val="1"/>
      <w:numFmt w:val="decimal"/>
      <w:lvlText w:val="%1."/>
      <w:lvlJc w:val="left"/>
      <w:pPr>
        <w:tabs>
          <w:tab w:val="left" w:pos="312"/>
        </w:tabs>
      </w:pPr>
    </w:lvl>
  </w:abstractNum>
  <w:abstractNum w:abstractNumId="1">
    <w:nsid w:val="D236C852"/>
    <w:multiLevelType w:val="singleLevel"/>
    <w:tmpl w:val="D236C852"/>
    <w:lvl w:ilvl="0" w:tentative="0">
      <w:start w:val="1"/>
      <w:numFmt w:val="decimal"/>
      <w:lvlText w:val="%1."/>
      <w:lvlJc w:val="left"/>
      <w:pPr>
        <w:tabs>
          <w:tab w:val="left" w:pos="312"/>
        </w:tabs>
      </w:pPr>
    </w:lvl>
  </w:abstractNum>
  <w:abstractNum w:abstractNumId="2">
    <w:nsid w:val="D773AD85"/>
    <w:multiLevelType w:val="singleLevel"/>
    <w:tmpl w:val="D773AD85"/>
    <w:lvl w:ilvl="0" w:tentative="0">
      <w:start w:val="1"/>
      <w:numFmt w:val="decimal"/>
      <w:lvlText w:val="%1."/>
      <w:lvlJc w:val="left"/>
      <w:pPr>
        <w:tabs>
          <w:tab w:val="left" w:pos="312"/>
        </w:tabs>
      </w:pPr>
    </w:lvl>
  </w:abstractNum>
  <w:abstractNum w:abstractNumId="3">
    <w:nsid w:val="E27B4E75"/>
    <w:multiLevelType w:val="singleLevel"/>
    <w:tmpl w:val="E27B4E75"/>
    <w:lvl w:ilvl="0" w:tentative="0">
      <w:start w:val="1"/>
      <w:numFmt w:val="decimal"/>
      <w:lvlText w:val="%1."/>
      <w:lvlJc w:val="left"/>
      <w:pPr>
        <w:tabs>
          <w:tab w:val="left" w:pos="312"/>
        </w:tabs>
      </w:pPr>
    </w:lvl>
  </w:abstractNum>
  <w:abstractNum w:abstractNumId="4">
    <w:nsid w:val="00DCA09B"/>
    <w:multiLevelType w:val="singleLevel"/>
    <w:tmpl w:val="00DCA09B"/>
    <w:lvl w:ilvl="0" w:tentative="0">
      <w:start w:val="1"/>
      <w:numFmt w:val="decimal"/>
      <w:lvlText w:val="%1."/>
      <w:lvlJc w:val="left"/>
      <w:pPr>
        <w:tabs>
          <w:tab w:val="left" w:pos="312"/>
        </w:tabs>
      </w:pPr>
    </w:lvl>
  </w:abstractNum>
  <w:abstractNum w:abstractNumId="5">
    <w:nsid w:val="1CE41FA9"/>
    <w:multiLevelType w:val="singleLevel"/>
    <w:tmpl w:val="1CE41FA9"/>
    <w:lvl w:ilvl="0" w:tentative="0">
      <w:start w:val="1"/>
      <w:numFmt w:val="decimal"/>
      <w:lvlText w:val="%1."/>
      <w:lvlJc w:val="left"/>
      <w:pPr>
        <w:tabs>
          <w:tab w:val="left" w:pos="312"/>
        </w:tabs>
      </w:pPr>
    </w:lvl>
  </w:abstractNum>
  <w:abstractNum w:abstractNumId="6">
    <w:nsid w:val="1D5E5CFA"/>
    <w:multiLevelType w:val="singleLevel"/>
    <w:tmpl w:val="1D5E5CFA"/>
    <w:lvl w:ilvl="0" w:tentative="0">
      <w:start w:val="1"/>
      <w:numFmt w:val="decimal"/>
      <w:lvlText w:val="%1."/>
      <w:lvlJc w:val="left"/>
      <w:pPr>
        <w:tabs>
          <w:tab w:val="left" w:pos="312"/>
        </w:tabs>
      </w:pPr>
    </w:lvl>
  </w:abstractNum>
  <w:abstractNum w:abstractNumId="7">
    <w:nsid w:val="5CEDCF07"/>
    <w:multiLevelType w:val="singleLevel"/>
    <w:tmpl w:val="5CEDCF07"/>
    <w:lvl w:ilvl="0" w:tentative="0">
      <w:start w:val="1"/>
      <w:numFmt w:val="decimal"/>
      <w:lvlText w:val="%1."/>
      <w:lvlJc w:val="left"/>
      <w:pPr>
        <w:tabs>
          <w:tab w:val="left" w:pos="312"/>
        </w:tabs>
      </w:pPr>
    </w:lvl>
  </w:abstractNum>
  <w:abstractNum w:abstractNumId="8">
    <w:nsid w:val="75901540"/>
    <w:multiLevelType w:val="singleLevel"/>
    <w:tmpl w:val="75901540"/>
    <w:lvl w:ilvl="0" w:tentative="0">
      <w:start w:val="1"/>
      <w:numFmt w:val="decimal"/>
      <w:lvlText w:val="%1."/>
      <w:lvlJc w:val="left"/>
      <w:pPr>
        <w:tabs>
          <w:tab w:val="left" w:pos="312"/>
        </w:tabs>
      </w:pPr>
    </w:lvl>
  </w:abstractNum>
  <w:num w:numId="1">
    <w:abstractNumId w:val="5"/>
  </w:num>
  <w:num w:numId="2">
    <w:abstractNumId w:val="6"/>
  </w:num>
  <w:num w:numId="3">
    <w:abstractNumId w:val="8"/>
  </w:num>
  <w:num w:numId="4">
    <w:abstractNumId w:val="1"/>
  </w:num>
  <w:num w:numId="5">
    <w:abstractNumId w:val="2"/>
  </w:num>
  <w:num w:numId="6">
    <w:abstractNumId w:val="7"/>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VmNmFkNjhkOTZmNWIxZmQwNGI4OTlmODllNWQxNmIifQ=="/>
  </w:docVars>
  <w:rsids>
    <w:rsidRoot w:val="249C0B25"/>
    <w:rsid w:val="063224A6"/>
    <w:rsid w:val="249C0B25"/>
    <w:rsid w:val="396327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136</TotalTime>
  <ScaleCrop>false</ScaleCrop>
  <LinksUpToDate>false</LinksUpToDate>
  <CharactersWithSpaces>0</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2024-06-10T02:28:00Z</dcterms:created>
  <dc:creator>Administrator</dc:creator>
  <cp:lastModifiedBy>Administrator</cp:lastModifiedBy>
  <dcterms:modified xsi:type="dcterms:W3CDTF">2024-06-10T05:16:06Z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953C232BDBB94551825E4FB735E6665F_11</vt:lpwstr>
  </property>
</Properties>
</file>