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561" w:firstLineChars="200"/>
        <w:jc w:val="center"/>
        <w:textAlignment w:val="auto"/>
        <w:rPr>
          <w:rFonts w:hint="eastAsia"/>
          <w:b/>
          <w:bCs/>
          <w:sz w:val="28"/>
          <w:szCs w:val="36"/>
          <w:lang w:val="en-US" w:eastAsia="zh-CN"/>
        </w:rPr>
      </w:pPr>
      <w:r>
        <w:rPr>
          <w:rFonts w:hint="eastAsia"/>
          <w:b/>
          <w:bCs/>
          <w:sz w:val="28"/>
          <w:szCs w:val="36"/>
          <w:lang w:val="en-US" w:eastAsia="zh-CN"/>
        </w:rPr>
        <w:t>问题层层递进 探究步步深入</w:t>
      </w:r>
    </w:p>
    <w:p>
      <w:pPr>
        <w:keepNext w:val="0"/>
        <w:keepLines w:val="0"/>
        <w:pageBreakBefore w:val="0"/>
        <w:widowControl w:val="0"/>
        <w:kinsoku/>
        <w:wordWrap/>
        <w:overflowPunct/>
        <w:topLinePunct w:val="0"/>
        <w:autoSpaceDE/>
        <w:autoSpaceDN/>
        <w:bidi w:val="0"/>
        <w:adjustRightInd/>
        <w:snapToGrid/>
        <w:ind w:firstLine="440" w:firstLineChars="200"/>
        <w:jc w:val="center"/>
        <w:textAlignment w:val="auto"/>
        <w:rPr>
          <w:rFonts w:hint="default"/>
          <w:b w:val="0"/>
          <w:bCs w:val="0"/>
          <w:sz w:val="22"/>
          <w:szCs w:val="28"/>
          <w:lang w:val="en-US" w:eastAsia="zh-CN"/>
        </w:rPr>
      </w:pPr>
      <w:r>
        <w:rPr>
          <w:rFonts w:hint="eastAsia"/>
          <w:b w:val="0"/>
          <w:bCs w:val="0"/>
          <w:sz w:val="22"/>
          <w:szCs w:val="28"/>
          <w:lang w:val="en-US" w:eastAsia="zh-CN"/>
        </w:rPr>
        <w:t>常州市中天实验学校 吴漾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数学教学应该考虑到学生的年龄特点和数学学科的特质，找到趣味和理性之间的平衡点。通过组织和引导学生进行数学实验和探究活动，可以帮助他们将直观感知和抽象思维结合起来，从而深化对数学概念的理解。在规律探索课型中运用数学实验，不仅可以调动学生的多种感官，增强他们的体验，还可以丰富学习方式，促进思维发展。通过实际操作和观察，学生可以更直观地理解数学规律和概念，从而提高学习的效果。同时，这种亲身参与的学习方式也能让学生更加投入，让数学学习过程变得更加生动和有趣。</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数学教学中将抽象数学与具体生活实践相结合</w:t>
      </w:r>
      <w:r>
        <w:rPr>
          <w:rFonts w:hint="eastAsia"/>
          <w:lang w:val="en-US" w:eastAsia="zh-CN"/>
        </w:rPr>
        <w:t>是非常有意义的。通过观察、实验、归纳、推理等过程，让学生亲身体验数学的实际应用，从而增强他们对数学的理解和兴趣。同时，教学要考虑学生的年龄特点和数学学科的特点，找到趣味和理性的平衡点，让学生在动手操作中丰富对数学概念的直观体验，促进他们的思维发展。通过组织数学实验和探究活动，引导学生通过具体操作来理解抽象概念，从而提高他们的数学技能和思维方式，加深对数学知识的理解。这种教学方法可以帮助学生更好地掌握数学知识，培养批判性思维，丰富认知水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“分数的基本性质”是一节基于分数意义理解的规</w:t>
      </w:r>
      <w:r>
        <w:rPr>
          <w:rFonts w:hint="default"/>
          <w:lang w:val="en-US" w:eastAsia="zh-CN"/>
        </w:rPr>
        <w:t>律探索课。通过实际的数学实验和探索，学生可以更深入地理解分数的基本性质，而不仅仅停留在抽象的概念层面。这种基于实践的学习方法可以帮助学生建立起对数学规律的直观感受，从而更好地掌握知识，提高他们的数学思维能力。这种教学方法也能够激发学生对数学的兴趣，让他们在学习过程中享受到探索和发现的乐趣</w:t>
      </w: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一、初次探索 证明猜想</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学生虽然在五年级才正式学习分数的基本性质，但在这之前已经有了关于“等值分数”的非正式知识。由于学生个体思维发展水平的制约和等值分数的语义多样性，使得学生理解等值分数存在诸多困难。因此首先，周特由三下新教材中学习的分数引出“等值分数”，引导学生写一组等值分数，并用自己喜欢的方式说明理由，通过这样的方式激发学生学习兴趣，引发需求。其次，学生采取自己熟悉的实验方式，带着明确的实验问题，开展探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本环节主要分三步：资源展示---观察---概括。第一步，通过展示学生的实验资源（画图、线段、小数、商不变规律），验证</w:t>
      </w:r>
      <w:r>
        <w:rPr>
          <w:rFonts w:hint="eastAsia"/>
          <w:lang w:val="en-US" w:eastAsia="zh-CN"/>
        </w:rPr>
        <w:object>
          <v:shape id="_x0000_i1025" o:spt="75" type="#_x0000_t75" style="height:17pt;width:9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m:oMath>
        <m:f>
          <m:fPr>
            <m:ctrlPr>
              <w:rPr>
                <w:rFonts w:hint="eastAsia" w:ascii="DejaVu Math TeX Gyre" w:hAnsi="DejaVu Math TeX Gyre"/>
                <w:lang w:val="en-US" w:eastAsia="zh-CN"/>
              </w:rPr>
            </m:ctrlPr>
          </m:fPr>
          <m:num>
            <m:r>
              <m:rPr>
                <m:sty m:val="p"/>
              </m:rPr>
              <w:rPr>
                <w:rFonts w:hint="default" w:ascii="DejaVu Math TeX Gyre" w:hAnsi="DejaVu Math TeX Gyre"/>
                <w:lang w:val="en-US" w:eastAsia="zh-CN"/>
              </w:rPr>
              <m:t>1</m:t>
            </m:r>
            <m:ctrlPr>
              <w:rPr>
                <w:rFonts w:hint="eastAsia" w:ascii="DejaVu Math TeX Gyre" w:hAnsi="DejaVu Math TeX Gyre"/>
                <w:lang w:val="en-US" w:eastAsia="zh-CN"/>
              </w:rPr>
            </m:ctrlPr>
          </m:num>
          <m:den>
            <m:r>
              <m:rPr>
                <m:sty m:val="p"/>
              </m:rPr>
              <w:rPr>
                <w:rFonts w:hint="default" w:ascii="DejaVu Math TeX Gyre" w:hAnsi="DejaVu Math TeX Gyre"/>
                <w:lang w:val="en-US" w:eastAsia="zh-CN"/>
              </w:rPr>
              <m:t>4</m:t>
            </m:r>
            <m:ctrlPr>
              <w:rPr>
                <w:rFonts w:hint="eastAsia" w:ascii="DejaVu Math TeX Gyre" w:hAnsi="DejaVu Math TeX Gyre"/>
                <w:lang w:val="en-US" w:eastAsia="zh-CN"/>
              </w:rPr>
            </m:ctrlPr>
          </m:den>
        </m:f>
      </m:oMath>
      <w:r>
        <w:rPr>
          <w:rFonts w:hint="eastAsia"/>
          <w:lang w:val="en-US" w:eastAsia="zh-CN"/>
        </w:rPr>
        <w:t xml:space="preserve"> =</w:t>
      </w:r>
      <m:oMath>
        <m:r>
          <m:rPr>
            <m:sty m:val="p"/>
          </m:rPr>
          <w:rPr>
            <w:rFonts w:hint="default" w:ascii="DejaVu Math TeX Gyre" w:hAnsi="DejaVu Math TeX Gyre"/>
            <w:lang w:val="en-US" w:eastAsia="zh-CN"/>
          </w:rPr>
          <m:t xml:space="preserve"> </m:t>
        </m:r>
        <m:f>
          <m:fPr>
            <m:ctrlPr>
              <w:rPr>
                <w:rFonts w:hint="eastAsia" w:ascii="DejaVu Math TeX Gyre" w:hAnsi="DejaVu Math TeX Gyre"/>
                <w:lang w:val="en-US" w:eastAsia="zh-CN"/>
              </w:rPr>
            </m:ctrlPr>
          </m:fPr>
          <m:num>
            <m:r>
              <m:rPr>
                <m:sty m:val="p"/>
              </m:rPr>
              <w:rPr>
                <w:rFonts w:hint="default" w:ascii="DejaVu Math TeX Gyre" w:hAnsi="DejaVu Math TeX Gyre"/>
                <w:lang w:val="en-US" w:eastAsia="zh-CN"/>
              </w:rPr>
              <m:t>2</m:t>
            </m:r>
            <m:ctrlPr>
              <w:rPr>
                <w:rFonts w:hint="eastAsia" w:ascii="DejaVu Math TeX Gyre" w:hAnsi="DejaVu Math TeX Gyre"/>
                <w:lang w:val="en-US" w:eastAsia="zh-CN"/>
              </w:rPr>
            </m:ctrlPr>
          </m:num>
          <m:den>
            <m:r>
              <m:rPr>
                <m:sty m:val="p"/>
              </m:rPr>
              <w:rPr>
                <w:rFonts w:hint="default" w:ascii="DejaVu Math TeX Gyre" w:hAnsi="DejaVu Math TeX Gyre"/>
                <w:lang w:val="en-US" w:eastAsia="zh-CN"/>
              </w:rPr>
              <m:t>8</m:t>
            </m:r>
            <m:ctrlPr>
              <w:rPr>
                <w:rFonts w:hint="eastAsia" w:ascii="DejaVu Math TeX Gyre" w:hAnsi="DejaVu Math TeX Gyre"/>
                <w:lang w:val="en-US" w:eastAsia="zh-CN"/>
              </w:rPr>
            </m:ctrlPr>
          </m:den>
        </m:f>
      </m:oMath>
      <w:r>
        <w:rPr>
          <w:rFonts w:hint="eastAsia"/>
          <w:lang w:val="en-US" w:eastAsia="zh-CN"/>
        </w:rPr>
        <w:t xml:space="preserve"> =</w:t>
      </w:r>
      <m:oMath>
        <m:r>
          <m:rPr>
            <m:sty m:val="p"/>
          </m:rPr>
          <w:rPr>
            <w:rFonts w:hint="default" w:ascii="DejaVu Math TeX Gyre" w:hAnsi="DejaVu Math TeX Gyre"/>
            <w:lang w:val="en-US" w:eastAsia="zh-CN"/>
          </w:rPr>
          <m:t xml:space="preserve"> </m:t>
        </m:r>
        <m:f>
          <m:fPr>
            <m:ctrlPr>
              <w:rPr>
                <w:rFonts w:hint="eastAsia" w:ascii="DejaVu Math TeX Gyre" w:hAnsi="DejaVu Math TeX Gyre"/>
                <w:lang w:val="en-US" w:eastAsia="zh-CN"/>
              </w:rPr>
            </m:ctrlPr>
          </m:fPr>
          <m:num>
            <m:r>
              <m:rPr>
                <m:sty m:val="p"/>
              </m:rPr>
              <w:rPr>
                <w:rFonts w:hint="default" w:ascii="DejaVu Math TeX Gyre" w:hAnsi="DejaVu Math TeX Gyre"/>
                <w:lang w:val="en-US" w:eastAsia="zh-CN"/>
              </w:rPr>
              <m:t>4</m:t>
            </m:r>
            <m:ctrlPr>
              <w:rPr>
                <w:rFonts w:hint="eastAsia" w:ascii="DejaVu Math TeX Gyre" w:hAnsi="DejaVu Math TeX Gyre"/>
                <w:lang w:val="en-US" w:eastAsia="zh-CN"/>
              </w:rPr>
            </m:ctrlPr>
          </m:num>
          <m:den>
            <m:r>
              <m:rPr>
                <m:sty m:val="p"/>
              </m:rPr>
              <w:rPr>
                <w:rFonts w:hint="default" w:ascii="DejaVu Math TeX Gyre" w:hAnsi="DejaVu Math TeX Gyre"/>
                <w:lang w:val="en-US" w:eastAsia="zh-CN"/>
              </w:rPr>
              <m:t>16</m:t>
            </m:r>
            <m:ctrlPr>
              <w:rPr>
                <w:rFonts w:hint="eastAsia" w:ascii="DejaVu Math TeX Gyre" w:hAnsi="DejaVu Math TeX Gyre"/>
                <w:lang w:val="en-US" w:eastAsia="zh-CN"/>
              </w:rPr>
            </m:ctrlPr>
          </m:den>
        </m:f>
      </m:oMath>
      <w:r>
        <w:rPr>
          <w:rFonts w:hint="eastAsia"/>
          <w:lang w:val="en-US" w:eastAsia="zh-CN"/>
        </w:rPr>
        <w:t>.其中，资源主要展示了三种方法证明三个分数相等的方法：其一，学生采用画图来证明三个分数相等；其二，利用分数与除法的关系，将三个分数算出它们的得数，以此来证明三个分数相等；其三，亦是利用分数与除法之间的联系，通过商不变的规律证明三个分数相等。接着第二步，观察等值分数之间分母和分子变化的情况，总结出分子和分母都可以同时乘或者除以不为0的数，分数的大小不变。第三步，教师引导学生一起概括分数的基本性质：分数的分子和分母同时乘或除以一个相同的数（0除外），分数的大小不变。整个过程让学生先想再做，做后再观察、概括，借助直观感知，指导学生观察、比较、思考，发展抽象思维，学生在做中思、以做促思。</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二、再次探索 引发辨析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波利亚说过，学习任何知识的最佳途径是由学生自己去发现，因为这种发现，理解最深，也最容易掌握其中的规律、性质和联系。本环节，教师把教学的重点聚焦在“要使分数的大小不变，难道分子和分母只能这么变吗？”（举例：</w:t>
      </w:r>
      <m:oMath>
        <m:f>
          <m:fPr>
            <m:ctrlPr>
              <w:rPr>
                <w:rFonts w:hint="eastAsia" w:ascii="DejaVu Math TeX Gyre" w:hAnsi="DejaVu Math TeX Gyre"/>
                <w:lang w:val="en-US" w:eastAsia="zh-CN"/>
              </w:rPr>
            </m:ctrlPr>
          </m:fPr>
          <m:num>
            <m:r>
              <m:rPr>
                <m:sty m:val="p"/>
              </m:rPr>
              <w:rPr>
                <w:rFonts w:hint="default" w:ascii="DejaVu Math TeX Gyre" w:hAnsi="DejaVu Math TeX Gyre"/>
                <w:lang w:val="en-US" w:eastAsia="zh-CN"/>
              </w:rPr>
              <m:t>1</m:t>
            </m:r>
            <m:ctrlPr>
              <w:rPr>
                <w:rFonts w:hint="eastAsia" w:ascii="DejaVu Math TeX Gyre" w:hAnsi="DejaVu Math TeX Gyre"/>
                <w:lang w:val="en-US" w:eastAsia="zh-CN"/>
              </w:rPr>
            </m:ctrlPr>
          </m:num>
          <m:den>
            <m:r>
              <m:rPr>
                <m:sty m:val="p"/>
              </m:rPr>
              <w:rPr>
                <w:rFonts w:hint="default" w:ascii="DejaVu Math TeX Gyre" w:hAnsi="DejaVu Math TeX Gyre"/>
                <w:lang w:val="en-US" w:eastAsia="zh-CN"/>
              </w:rPr>
              <m:t>4</m:t>
            </m:r>
            <m:ctrlPr>
              <w:rPr>
                <w:rFonts w:hint="eastAsia" w:ascii="DejaVu Math TeX Gyre" w:hAnsi="DejaVu Math TeX Gyre"/>
                <w:lang w:val="en-US" w:eastAsia="zh-CN"/>
              </w:rPr>
            </m:ctrlPr>
          </m:den>
        </m:f>
      </m:oMath>
      <w:r>
        <w:rPr>
          <w:rFonts w:hint="eastAsia"/>
          <w:lang w:val="en-US" w:eastAsia="zh-CN"/>
        </w:rPr>
        <w:t>=</w:t>
      </w:r>
      <m:oMath>
        <m:f>
          <m:fPr>
            <m:ctrlPr>
              <w:rPr>
                <w:rFonts w:hint="eastAsia" w:ascii="DejaVu Math TeX Gyre" w:hAnsi="DejaVu Math TeX Gyre"/>
                <w:lang w:val="en-US" w:eastAsia="zh-CN"/>
              </w:rPr>
            </m:ctrlPr>
          </m:fPr>
          <m:num>
            <m:r>
              <m:rPr>
                <m:sty m:val="p"/>
              </m:rPr>
              <w:rPr>
                <w:rFonts w:hint="default" w:ascii="DejaVu Math TeX Gyre" w:hAnsi="DejaVu Math TeX Gyre"/>
                <w:lang w:val="en-US" w:eastAsia="zh-CN"/>
              </w:rPr>
              <m:t>1+3</m:t>
            </m:r>
            <m:ctrlPr>
              <w:rPr>
                <w:rFonts w:hint="eastAsia" w:ascii="DejaVu Math TeX Gyre" w:hAnsi="DejaVu Math TeX Gyre"/>
                <w:lang w:val="en-US" w:eastAsia="zh-CN"/>
              </w:rPr>
            </m:ctrlPr>
          </m:num>
          <m:den>
            <m:r>
              <m:rPr>
                <m:sty m:val="p"/>
              </m:rPr>
              <w:rPr>
                <w:rFonts w:hint="default" w:ascii="DejaVu Math TeX Gyre" w:hAnsi="DejaVu Math TeX Gyre"/>
                <w:lang w:val="en-US" w:eastAsia="zh-CN"/>
              </w:rPr>
              <m:t>4+12</m:t>
            </m:r>
            <m:ctrlPr>
              <w:rPr>
                <w:rFonts w:hint="eastAsia" w:ascii="DejaVu Math TeX Gyre" w:hAnsi="DejaVu Math TeX Gyre"/>
                <w:lang w:val="en-US" w:eastAsia="zh-CN"/>
              </w:rPr>
            </m:ctrlPr>
          </m:den>
        </m:f>
      </m:oMath>
      <w:r>
        <w:rPr>
          <w:rFonts w:hint="eastAsia"/>
          <w:lang w:val="en-US" w:eastAsia="zh-CN"/>
        </w:rPr>
        <w:t>=</w:t>
      </w:r>
      <m:oMath>
        <m:f>
          <m:fPr>
            <m:ctrlPr>
              <w:rPr>
                <w:rFonts w:hint="eastAsia" w:ascii="DejaVu Math TeX Gyre" w:hAnsi="DejaVu Math TeX Gyre"/>
                <w:lang w:val="en-US" w:eastAsia="zh-CN"/>
              </w:rPr>
            </m:ctrlPr>
          </m:fPr>
          <m:num>
            <m:r>
              <m:rPr>
                <m:sty m:val="p"/>
              </m:rPr>
              <w:rPr>
                <w:rFonts w:hint="default" w:ascii="DejaVu Math TeX Gyre" w:hAnsi="DejaVu Math TeX Gyre"/>
                <w:lang w:val="en-US" w:eastAsia="zh-CN"/>
              </w:rPr>
              <m:t>4</m:t>
            </m:r>
            <m:ctrlPr>
              <w:rPr>
                <w:rFonts w:hint="eastAsia" w:ascii="DejaVu Math TeX Gyre" w:hAnsi="DejaVu Math TeX Gyre"/>
                <w:lang w:val="en-US" w:eastAsia="zh-CN"/>
              </w:rPr>
            </m:ctrlPr>
          </m:num>
          <m:den>
            <m:r>
              <m:rPr>
                <m:sty m:val="p"/>
              </m:rPr>
              <w:rPr>
                <w:rFonts w:hint="default" w:ascii="DejaVu Math TeX Gyre" w:hAnsi="DejaVu Math TeX Gyre"/>
                <w:lang w:val="en-US" w:eastAsia="zh-CN"/>
              </w:rPr>
              <m:t>16</m:t>
            </m:r>
            <m:ctrlPr>
              <w:rPr>
                <w:rFonts w:hint="eastAsia" w:ascii="DejaVu Math TeX Gyre" w:hAnsi="DejaVu Math TeX Gyre"/>
                <w:lang w:val="en-US" w:eastAsia="zh-CN"/>
              </w:rPr>
            </m:ctrlPr>
          </m:den>
        </m:f>
      </m:oMath>
      <w:r>
        <w:rPr>
          <w:rFonts w:hint="eastAsia"/>
          <w:lang w:val="en-US" w:eastAsia="zh-CN"/>
        </w:rPr>
        <w:t>）这一问题上，引领学生经历规律发现的全过程，发现探索出其实1+3就是4个1相加也就是1</w:t>
      </w:r>
      <w:r>
        <w:rPr>
          <w:rFonts w:hint="default" w:ascii="Arial" w:hAnsi="Arial" w:cs="Arial"/>
          <w:lang w:val="en-US" w:eastAsia="zh-CN"/>
        </w:rPr>
        <w:t>×</w:t>
      </w:r>
      <w:r>
        <w:rPr>
          <w:rFonts w:hint="eastAsia"/>
          <w:lang w:val="en-US" w:eastAsia="zh-CN"/>
        </w:rPr>
        <w:t>4，4+12也就是4个4相加也就是4</w:t>
      </w:r>
      <w:r>
        <w:rPr>
          <w:rFonts w:hint="default" w:ascii="Arial" w:hAnsi="Arial" w:cs="Arial"/>
          <w:lang w:val="en-US" w:eastAsia="zh-CN"/>
        </w:rPr>
        <w:t>×</w:t>
      </w:r>
      <w:r>
        <w:rPr>
          <w:rFonts w:hint="eastAsia"/>
          <w:lang w:val="en-US" w:eastAsia="zh-CN"/>
        </w:rPr>
        <w:t>4。学生在观察中发现，在比较中分析，在交流中辨析，在归纳中推理，逐步抽象概括出分数的基本性质。学生对于规律的发现和完善过程，实际上也是在感悟从具体到抽象、从个别到一般的归纳推理过程。</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lang w:val="en-US" w:eastAsia="zh-CN"/>
        </w:rPr>
      </w:pPr>
      <w:r>
        <w:rPr>
          <w:rFonts w:hint="eastAsia"/>
          <w:lang w:val="en-US" w:eastAsia="zh-CN"/>
        </w:rPr>
        <w:t>三、</w:t>
      </w:r>
      <w:bookmarkStart w:id="0" w:name="_GoBack"/>
      <w:bookmarkEnd w:id="0"/>
      <w:r>
        <w:rPr>
          <w:rFonts w:hint="eastAsia"/>
          <w:lang w:val="en-US" w:eastAsia="zh-CN"/>
        </w:rPr>
        <w:t xml:space="preserve">深入探索 把握本质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eastAsiaTheme="minorEastAsia"/>
          <w:lang w:val="en-US" w:eastAsia="zh-CN"/>
        </w:rPr>
      </w:pPr>
      <w:r>
        <w:rPr>
          <w:rFonts w:hint="eastAsia"/>
          <w:lang w:val="en-US" w:eastAsia="zh-CN"/>
        </w:rPr>
        <w:t xml:space="preserve">本节课教学中，教师注重引导学生在亲历活动中解决问题、发展思维、自主完善并建构知识体系。学生围绕“如何证明等值分数之间是相等的”、“等值分数之间分数的分子和分母之间是如何变化的”。在整个课堂中，学生多种感官参与，丰富了体验，使学生的数学学习过程变得生动有趣。最后，周特以“乘以散之，约以聚之”让学生深切的感受分数基本性质之间的补偿（守恒）关系，帮助学生内化分数的基本性质的知识点，像这样由浅入深、层层递进的探究教学，不仅锻炼了学生的推理能力，还培养了他们在不断融通中发展能力、提升素养。正如蒙特梭利说的“我听过了，我就忘了；我看见了，我就记得了；我做过了，我就理解了”。 在数学探究活动中应用数学实验，改变了常规数学课堂的形态，学生在实验的过程中充分动手动脑，习得知识、领悟方法、明晰道理，融通了直观感知和抽象思维，这样的数学学习既严谨又生动，能更好地发展学生的数学思维。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Math">
    <w:altName w:val="Kingsoft Math"/>
    <w:panose1 w:val="02040503050406030204"/>
    <w:charset w:val="00"/>
    <w:family w:val="auto"/>
    <w:pitch w:val="default"/>
    <w:sig w:usb0="00000000" w:usb1="00000000" w:usb2="02000000" w:usb3="00000000" w:csb0="2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Math">
    <w:panose1 w:val="02040503050406030204"/>
    <w:charset w:val="00"/>
    <w:family w:val="auto"/>
    <w:pitch w:val="default"/>
    <w:sig w:usb0="80000087" w:usb1="00002068" w:usb2="00000000" w:usb3="00000000" w:csb0="2000019F"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MS Mincho">
    <w:altName w:val="Hiragino Sans"/>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Hiragino Sans">
    <w:panose1 w:val="020B0300000000000000"/>
    <w:charset w:val="80"/>
    <w:family w:val="auto"/>
    <w:pitch w:val="default"/>
    <w:sig w:usb0="E00002FF" w:usb1="7AE7FFFF" w:usb2="00000012" w:usb3="00000000" w:csb0="0002000D" w:csb1="00000000"/>
  </w:font>
  <w:font w:name="Arial">
    <w:panose1 w:val="020B06040202020902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jYTE0YTdmYjE3NDAwMGU0Y2Q0NGE5MDAwMzlmY2YifQ=="/>
  </w:docVars>
  <w:rsids>
    <w:rsidRoot w:val="75CC4F2C"/>
    <w:rsid w:val="12747CBA"/>
    <w:rsid w:val="406561BF"/>
    <w:rsid w:val="49E67FA3"/>
    <w:rsid w:val="75CC4F2C"/>
    <w:rsid w:val="FE3F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1492</Words>
  <Characters>1514</Characters>
  <Lines>0</Lines>
  <Paragraphs>0</Paragraphs>
  <TotalTime>283</TotalTime>
  <ScaleCrop>false</ScaleCrop>
  <LinksUpToDate>false</LinksUpToDate>
  <CharactersWithSpaces>2069</CharactersWithSpaces>
  <Application>WPS Office_6.5.1.8687_F1E327BC-269C-435d-A152-05C5408002CA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2024-05-10T14:04:00Z</dcterms:created>
  <dc:creator>肉墩墩</dc:creator>
  <cp:lastModifiedBy>肉墩墩</cp:lastModifiedBy>
  <dcterms:modified xsi:type="dcterms:W3CDTF">2024-05-25T16:40:08Z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2052-6.5.1.8687</vt:lpwstr>
  </property>
  <property fmtid="{D5CDD505-2E9C-101B-9397-08002B2CF9AE}" pid="3" name="ICV">
    <vt:lpwstr>D3A5E326C45F35E9E8A351668162CCB1_43</vt:lpwstr>
  </property>
</Properties>
</file>