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37"/>
        <w:gridCol w:w="1605"/>
        <w:gridCol w:w="1694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孙燕桦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体育教学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《基于“学、练、赛”一体化四年级“足球运球突破”主题大单元教学设计》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足球大单元设计理念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pict>
                <v:shape id="_x0000_i1025" o:spt="75" alt="IMG_6467(20240407-151630)" type="#_x0000_t75" style="height:134.3pt;width:238.45pt;" filled="f" o:preferrelative="t" stroked="f" coordsize="21600,21600">
                  <v:path/>
                  <v:fill on="f" focussize="0,0"/>
                  <v:stroke on="f"/>
                  <v:imagedata r:id="rId4" o:title="IMG_6467(20240407-151630)"/>
                  <o:lock v:ext="edit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二、单元目标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（一）运动能力目标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能说出五人制足球比赛的基本规则、足球礼仪、场地规格、装备要求等基础知识，熟练掌握两种及以上运球变向突破的技术方法及动作要领，能通过多种运球方式摆脱防守，人球结合能力强，运球变向时机准确、熟练、突破速度快。通过体能练习和游戏发展学生位移速度、灵敏性、协调性及反应能力等。体会在3v3或5v5小场地比赛中合理运用运球突破技术及运球+传球/射门组合练习的时机与方法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（二）健康行为目标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理解参加体育锻炼的价值，养成良好的足球锻炼习惯；掌握运动前热身与运动后放松的基本方法，学会在足球运动出现擦伤时的紧急处理方法；在比赛落后时，能通过教师场外指导、队员之间相互鼓励调整情绪。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（三）体育品德目标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在比赛中积极进取，顽强拼搏，学会与同伴形成默契的配合，发挥团队精神。遵守比赛规则，公平竞赛，学会尊重对手、尊重裁判，树立正确的胜负观。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三、单元核心任务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发展学生在复杂比赛情境中合理选择运球突破技术的能力。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以“运球突破技术”为主题的18课时的水平二足球大单元教学设计，将技术学练融入真实的攻防对抗游戏中，加深学生对该项目的完整体验与理解，全面发展学生核心素养。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8BE9E"/>
    <w:multiLevelType w:val="singleLevel"/>
    <w:tmpl w:val="6E98BE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22811032"/>
    <w:rsid w:val="25586046"/>
    <w:rsid w:val="28B61F2A"/>
    <w:rsid w:val="2C0431B9"/>
    <w:rsid w:val="35854C82"/>
    <w:rsid w:val="359729E2"/>
    <w:rsid w:val="45A81949"/>
    <w:rsid w:val="4F0A4CE2"/>
    <w:rsid w:val="7B521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autoRedefine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2024-04-16T02:26:05Z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F12DD0AB596D4A14B39D9BA04237F535_12</vt:lpwstr>
  </property>
</Properties>
</file>