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24"/>
          <w:szCs w:val="24"/>
        </w:rPr>
      </w:pPr>
      <w:r>
        <w:rPr>
          <w:rFonts w:hint="eastAsia" w:ascii="黑体" w:hAnsi="黑体" w:eastAsia="黑体"/>
          <w:b/>
          <w:sz w:val="24"/>
          <w:szCs w:val="24"/>
        </w:rPr>
        <w:t>《</w:t>
      </w:r>
      <w:r>
        <w:rPr>
          <w:rFonts w:hint="eastAsia" w:ascii="黑体" w:hAnsi="黑体" w:eastAsia="黑体"/>
          <w:b/>
          <w:sz w:val="32"/>
          <w:szCs w:val="32"/>
        </w:rPr>
        <w:t>“学、练、赛、评”模式在校园足球中的运用研究</w:t>
      </w:r>
      <w:r>
        <w:rPr>
          <w:rFonts w:hint="eastAsia" w:ascii="黑体" w:hAnsi="黑体" w:eastAsia="黑体"/>
          <w:b/>
          <w:sz w:val="24"/>
          <w:szCs w:val="24"/>
        </w:rPr>
        <w:t>》</w:t>
      </w:r>
    </w:p>
    <w:p>
      <w:pPr>
        <w:jc w:val="center"/>
        <w:rPr>
          <w:rFonts w:ascii="黑体" w:hAnsi="黑体" w:eastAsia="黑体"/>
          <w:b/>
          <w:sz w:val="36"/>
          <w:szCs w:val="36"/>
        </w:rPr>
      </w:pPr>
      <w:r>
        <w:rPr>
          <w:rFonts w:hint="eastAsia" w:ascii="黑体" w:hAnsi="黑体" w:eastAsia="黑体"/>
          <w:b/>
          <w:sz w:val="36"/>
          <w:szCs w:val="36"/>
        </w:rPr>
        <w:t>学习札记</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559"/>
        <w:gridCol w:w="2127"/>
        <w:gridCol w:w="1559"/>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01" w:type="dxa"/>
            <w:noWrap w:val="0"/>
            <w:vAlign w:val="center"/>
          </w:tcPr>
          <w:p>
            <w:pPr>
              <w:rPr>
                <w:b/>
                <w:sz w:val="28"/>
                <w:szCs w:val="28"/>
              </w:rPr>
            </w:pPr>
            <w:r>
              <w:rPr>
                <w:rFonts w:hint="eastAsia"/>
                <w:b/>
                <w:sz w:val="28"/>
                <w:szCs w:val="28"/>
              </w:rPr>
              <w:t>学习人</w:t>
            </w:r>
          </w:p>
        </w:tc>
        <w:tc>
          <w:tcPr>
            <w:tcW w:w="850" w:type="dxa"/>
            <w:noWrap w:val="0"/>
            <w:vAlign w:val="center"/>
          </w:tcPr>
          <w:p>
            <w:pPr>
              <w:rPr>
                <w:rFonts w:hint="eastAsia" w:eastAsia="宋体"/>
                <w:sz w:val="28"/>
                <w:szCs w:val="28"/>
                <w:lang w:val="en-US" w:eastAsia="zh-CN"/>
              </w:rPr>
            </w:pPr>
            <w:r>
              <w:rPr>
                <w:rFonts w:hint="eastAsia"/>
                <w:sz w:val="28"/>
                <w:szCs w:val="28"/>
                <w:lang w:val="en-US" w:eastAsia="zh-CN"/>
              </w:rPr>
              <w:t>金赟</w:t>
            </w:r>
          </w:p>
        </w:tc>
        <w:tc>
          <w:tcPr>
            <w:tcW w:w="1559" w:type="dxa"/>
            <w:noWrap w:val="0"/>
            <w:vAlign w:val="center"/>
          </w:tcPr>
          <w:p>
            <w:pPr>
              <w:rPr>
                <w:b/>
                <w:sz w:val="28"/>
                <w:szCs w:val="28"/>
              </w:rPr>
            </w:pPr>
            <w:r>
              <w:rPr>
                <w:rFonts w:hint="eastAsia"/>
                <w:b/>
                <w:sz w:val="28"/>
                <w:szCs w:val="28"/>
              </w:rPr>
              <w:t>摘录来源</w:t>
            </w:r>
          </w:p>
        </w:tc>
        <w:tc>
          <w:tcPr>
            <w:tcW w:w="2127" w:type="dxa"/>
            <w:noWrap w:val="0"/>
            <w:vAlign w:val="center"/>
          </w:tcPr>
          <w:p>
            <w:pPr>
              <w:rPr>
                <w:rFonts w:hint="eastAsia" w:eastAsia="宋体"/>
                <w:sz w:val="24"/>
                <w:lang w:eastAsia="zh-CN"/>
              </w:rPr>
            </w:pPr>
            <w:r>
              <w:rPr>
                <w:rFonts w:hint="eastAsia"/>
                <w:sz w:val="24"/>
                <w:lang w:eastAsia="zh-CN"/>
              </w:rPr>
              <w:t>《知网》</w:t>
            </w:r>
          </w:p>
        </w:tc>
        <w:tc>
          <w:tcPr>
            <w:tcW w:w="1559" w:type="dxa"/>
            <w:noWrap w:val="0"/>
            <w:vAlign w:val="center"/>
          </w:tcPr>
          <w:p>
            <w:pPr>
              <w:rPr>
                <w:b/>
                <w:sz w:val="28"/>
                <w:szCs w:val="28"/>
              </w:rPr>
            </w:pPr>
            <w:r>
              <w:rPr>
                <w:rFonts w:hint="eastAsia"/>
                <w:b/>
                <w:sz w:val="28"/>
                <w:szCs w:val="28"/>
              </w:rPr>
              <w:t>学习时间</w:t>
            </w:r>
          </w:p>
        </w:tc>
        <w:tc>
          <w:tcPr>
            <w:tcW w:w="1326" w:type="dxa"/>
            <w:noWrap w:val="0"/>
            <w:vAlign w:val="center"/>
          </w:tcPr>
          <w:p>
            <w:pPr>
              <w:rPr>
                <w:rFonts w:hint="default" w:eastAsia="宋体"/>
                <w:sz w:val="28"/>
                <w:szCs w:val="28"/>
                <w:lang w:val="en-US" w:eastAsia="zh-CN"/>
              </w:rPr>
            </w:pPr>
            <w:r>
              <w:rPr>
                <w:rFonts w:hint="eastAsia"/>
                <w:sz w:val="28"/>
                <w:szCs w:val="28"/>
                <w:lang w:val="en-US" w:eastAsia="zh-CN"/>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3" w:hRule="atLeast"/>
        </w:trPr>
        <w:tc>
          <w:tcPr>
            <w:tcW w:w="8522" w:type="dxa"/>
            <w:gridSpan w:val="6"/>
            <w:noWrap w:val="0"/>
            <w:vAlign w:val="top"/>
          </w:tcPr>
          <w:p>
            <w:pPr>
              <w:numPr>
                <w:ilvl w:val="0"/>
                <w:numId w:val="0"/>
              </w:numPr>
              <w:jc w:val="both"/>
              <w:rPr>
                <w:rFonts w:hint="eastAsia"/>
                <w:b w:val="0"/>
                <w:bCs/>
                <w:sz w:val="24"/>
              </w:rPr>
            </w:pPr>
            <w:r>
              <w:rPr>
                <w:rFonts w:hint="eastAsia"/>
                <w:b/>
                <w:sz w:val="24"/>
              </w:rPr>
              <w:t>学习内容：</w:t>
            </w:r>
            <w:r>
              <w:rPr>
                <w:rFonts w:hint="eastAsia"/>
                <w:b w:val="0"/>
                <w:bCs/>
                <w:sz w:val="24"/>
              </w:rPr>
              <w:t>“学、练、赛”一体化视角下小学足球教学实践研究</w:t>
            </w:r>
          </w:p>
          <w:p>
            <w:pPr>
              <w:numPr>
                <w:ilvl w:val="0"/>
                <w:numId w:val="0"/>
              </w:numPr>
              <w:spacing w:line="240" w:lineRule="auto"/>
              <w:ind w:firstLine="480" w:firstLineChars="200"/>
              <w:rPr>
                <w:rFonts w:hint="eastAsia" w:eastAsia="宋体"/>
                <w:sz w:val="24"/>
                <w:lang w:val="en-US" w:eastAsia="zh-CN"/>
              </w:rPr>
            </w:pPr>
            <w:r>
              <w:rPr>
                <w:rFonts w:hint="eastAsia" w:eastAsia="宋体"/>
                <w:sz w:val="24"/>
                <w:lang w:val="en-US" w:eastAsia="zh-CN"/>
              </w:rPr>
              <w:t>足球学习需要经历一个不断固化的过程。在学生完成专项动作学习基础上,教师应给学生创造训练机会。训练应明确方向,注重组合训练,引领学生将单个动作进行有机的关联,从而帮助学生掌握完整的动作结构。第一,从易到难,</w:t>
            </w:r>
          </w:p>
          <w:p>
            <w:pPr>
              <w:numPr>
                <w:ilvl w:val="0"/>
                <w:numId w:val="0"/>
              </w:numPr>
              <w:spacing w:line="240" w:lineRule="auto"/>
              <w:rPr>
                <w:rFonts w:hint="eastAsia" w:eastAsia="宋体"/>
                <w:sz w:val="24"/>
                <w:lang w:val="en-US" w:eastAsia="zh-CN"/>
              </w:rPr>
            </w:pPr>
            <w:r>
              <w:rPr>
                <w:rFonts w:hint="eastAsia" w:eastAsia="宋体"/>
                <w:sz w:val="24"/>
                <w:lang w:val="en-US" w:eastAsia="zh-CN"/>
              </w:rPr>
              <w:t>组合勾连。足球专项训练是对复杂的动作进行有机地分解,以便于降低学习难</w:t>
            </w:r>
          </w:p>
          <w:p>
            <w:pPr>
              <w:numPr>
                <w:ilvl w:val="0"/>
                <w:numId w:val="0"/>
              </w:numPr>
              <w:spacing w:line="240" w:lineRule="auto"/>
              <w:rPr>
                <w:rFonts w:hint="eastAsia" w:eastAsia="宋体"/>
                <w:sz w:val="24"/>
                <w:lang w:val="en-US" w:eastAsia="zh-CN"/>
              </w:rPr>
            </w:pPr>
            <w:r>
              <w:rPr>
                <w:rFonts w:hint="eastAsia" w:eastAsia="宋体"/>
                <w:sz w:val="24"/>
                <w:lang w:val="en-US" w:eastAsia="zh-CN"/>
              </w:rPr>
              <w:t>度,夯实足球学习基础。足球“练”的教学则是一个相反过程,需要对专项动作进行组合和勾连,从简单的专项动作 训 练 转 向 复 杂 的 动 作 结 构 训 练</w:t>
            </w:r>
          </w:p>
          <w:p>
            <w:pPr>
              <w:numPr>
                <w:ilvl w:val="0"/>
                <w:numId w:val="0"/>
              </w:numPr>
              <w:spacing w:line="240" w:lineRule="auto"/>
              <w:rPr>
                <w:rFonts w:hint="eastAsia" w:eastAsia="宋体"/>
                <w:sz w:val="24"/>
                <w:lang w:val="en-US" w:eastAsia="zh-CN"/>
              </w:rPr>
            </w:pPr>
            <w:r>
              <w:rPr>
                <w:rFonts w:hint="eastAsia" w:eastAsia="宋体"/>
                <w:sz w:val="24"/>
                <w:lang w:val="en-US" w:eastAsia="zh-CN"/>
              </w:rPr>
              <w:t>。以“脚内侧踢球”一课为例。在学生完成七个基本动作学习基础上,教师先组织学生进行专项动作展示活动,接着给学生提供踢球的真实场景视频。学生观摩视频,了解不同动作在足球运动中的应用场景,探究七个基本动作的组合特点和组合规律从而形成连贯的动作体系。专项动作的组合与勾连引领足球学习逐步转向足球应用实践,组合训练设计注重发挥教师主导作用借助真实的场景视频给学生组合与勾连搭建 支 架,让 学 生 从 真 实 场 景 中 自 主 探究,成为足球组合训练的主体。学生由于经历了自主组合和勾连的过程,对专项动作组合和勾连的认识更加深刻,也产生组合训练的自我需求。第二,趣字当先,形式多样。在组合训练过程中,教师应基于学生主体地位,坚持趣味当先,打破足球传统重复性训练的做法,采用多样化的训练方式激发学生足球训练热情,提高足球组合训练效</w:t>
            </w:r>
          </w:p>
          <w:p>
            <w:pPr>
              <w:numPr>
                <w:ilvl w:val="0"/>
                <w:numId w:val="0"/>
              </w:numPr>
              <w:spacing w:line="240" w:lineRule="auto"/>
              <w:rPr>
                <w:rFonts w:hint="eastAsia" w:eastAsia="宋体"/>
                <w:sz w:val="24"/>
                <w:lang w:val="en-US" w:eastAsia="zh-CN"/>
              </w:rPr>
            </w:pPr>
            <w:r>
              <w:rPr>
                <w:rFonts w:hint="eastAsia" w:eastAsia="宋体"/>
                <w:sz w:val="24"/>
                <w:lang w:val="en-US" w:eastAsia="zh-CN"/>
              </w:rPr>
              <w:t>率。以“脚内侧踢球”组合训练为例。教师根据组合训练需要将其分成三个层级</w:t>
            </w:r>
          </w:p>
          <w:p>
            <w:pPr>
              <w:numPr>
                <w:ilvl w:val="0"/>
                <w:numId w:val="0"/>
              </w:numPr>
              <w:spacing w:line="240" w:lineRule="auto"/>
              <w:rPr>
                <w:rFonts w:hint="eastAsia" w:eastAsia="宋体"/>
                <w:sz w:val="24"/>
                <w:lang w:val="en-US" w:eastAsia="zh-CN"/>
              </w:rPr>
            </w:pPr>
            <w:r>
              <w:rPr>
                <w:rFonts w:hint="eastAsia" w:eastAsia="宋体"/>
                <w:sz w:val="24"/>
                <w:lang w:val="en-US" w:eastAsia="zh-CN"/>
              </w:rPr>
              <w:t>。第一个层级是无球训练,学生采用“模仿秀”的形式开展训练。教师先给</w:t>
            </w:r>
          </w:p>
          <w:p>
            <w:pPr>
              <w:numPr>
                <w:ilvl w:val="0"/>
                <w:numId w:val="0"/>
              </w:numPr>
              <w:spacing w:line="240" w:lineRule="auto"/>
              <w:rPr>
                <w:rFonts w:hint="eastAsia" w:eastAsia="宋体"/>
                <w:sz w:val="24"/>
                <w:lang w:val="en-US" w:eastAsia="zh-CN"/>
              </w:rPr>
            </w:pPr>
            <w:r>
              <w:rPr>
                <w:rFonts w:hint="eastAsia" w:eastAsia="宋体"/>
                <w:sz w:val="24"/>
                <w:lang w:val="en-US" w:eastAsia="zh-CN"/>
              </w:rPr>
              <w:t>学生提供一段相关视频,学生在了解动作结构基础上进行模仿性无球训练。通过无球训练,帮助学生强化动作结构化认知,形成完整的动 作 结 构。第二个层级是定位训练,将球固定下来,学生再发出相应的动作。第二个层级训练采用练、说相结合的形式,学生一边训练,一边说出动作技术要领。第三个层级是传接球拟真训练。学生模拟真实的运动场景开展传接球训练,在真实场景中将动作进行组合。</w:t>
            </w:r>
          </w:p>
          <w:p>
            <w:pPr>
              <w:numPr>
                <w:ilvl w:val="0"/>
                <w:numId w:val="0"/>
              </w:numPr>
              <w:spacing w:line="240" w:lineRule="auto"/>
              <w:rPr>
                <w:rFonts w:hint="eastAsia"/>
                <w:sz w:val="24"/>
                <w:lang w:val="en-US" w:eastAsia="zh-CN"/>
              </w:rPr>
            </w:pPr>
            <w:r>
              <w:rPr>
                <w:rFonts w:hint="eastAsia" w:eastAsia="宋体"/>
                <w:sz w:val="24"/>
                <w:lang w:val="en-US" w:eastAsia="zh-CN"/>
              </w:rPr>
              <w:t>组合训练兼顾内容和形式,在内容上重视组</w:t>
            </w:r>
            <w:r>
              <w:rPr>
                <w:rFonts w:hint="eastAsia"/>
                <w:sz w:val="24"/>
                <w:lang w:val="en-US" w:eastAsia="zh-CN"/>
              </w:rPr>
              <w:t>合训练的难度,让学生循序渐进地经历从简单到复杂的训练过程,逐步强化动作结构,深化学生足球认知。在训练形式上,将模仿秀、拟真训练相结合,逐步强化学生训练沉浸感。</w:t>
            </w:r>
          </w:p>
          <w:p>
            <w:pPr>
              <w:numPr>
                <w:ilvl w:val="0"/>
                <w:numId w:val="0"/>
              </w:numPr>
              <w:spacing w:line="240" w:lineRule="auto"/>
              <w:rPr>
                <w:rFonts w:hint="eastAsia"/>
                <w:sz w:val="24"/>
                <w:lang w:val="en-US" w:eastAsia="zh-CN"/>
              </w:rPr>
            </w:pPr>
          </w:p>
          <w:p>
            <w:pPr>
              <w:numPr>
                <w:ilvl w:val="0"/>
                <w:numId w:val="0"/>
              </w:numPr>
              <w:spacing w:line="240" w:lineRule="auto"/>
              <w:rPr>
                <w:rFonts w:hint="eastAsia"/>
                <w:sz w:val="24"/>
                <w:lang w:val="en-US" w:eastAsia="zh-CN"/>
              </w:rPr>
            </w:pPr>
          </w:p>
          <w:p>
            <w:pPr>
              <w:numPr>
                <w:ilvl w:val="0"/>
                <w:numId w:val="0"/>
              </w:numPr>
              <w:spacing w:line="240" w:lineRule="auto"/>
              <w:rPr>
                <w:rFonts w:hint="eastAsia"/>
                <w:sz w:val="24"/>
                <w:lang w:val="en-US" w:eastAsia="zh-CN"/>
              </w:rPr>
            </w:pPr>
          </w:p>
          <w:p>
            <w:pPr>
              <w:numPr>
                <w:ilvl w:val="0"/>
                <w:numId w:val="0"/>
              </w:numPr>
              <w:spacing w:line="240" w:lineRule="auto"/>
              <w:rPr>
                <w:rFonts w:hint="eastAsia"/>
                <w:sz w:val="24"/>
                <w:lang w:val="en-US" w:eastAsia="zh-CN"/>
              </w:rPr>
            </w:pPr>
          </w:p>
          <w:p>
            <w:pPr>
              <w:numPr>
                <w:ilvl w:val="0"/>
                <w:numId w:val="0"/>
              </w:numPr>
              <w:spacing w:line="240" w:lineRule="auto"/>
              <w:rPr>
                <w:rFonts w:hint="eastAsia"/>
                <w:sz w:val="24"/>
                <w:lang w:val="en-US" w:eastAsia="zh-CN"/>
              </w:rPr>
            </w:pPr>
          </w:p>
          <w:p>
            <w:pPr>
              <w:numPr>
                <w:ilvl w:val="0"/>
                <w:numId w:val="0"/>
              </w:numPr>
              <w:spacing w:line="240" w:lineRule="auto"/>
              <w:rPr>
                <w:rFonts w:hint="eastAsia"/>
                <w:sz w:val="24"/>
                <w:lang w:val="en-US" w:eastAsia="zh-CN"/>
              </w:rPr>
            </w:pPr>
          </w:p>
          <w:p>
            <w:pPr>
              <w:numPr>
                <w:ilvl w:val="0"/>
                <w:numId w:val="0"/>
              </w:numPr>
              <w:spacing w:line="240" w:lineRule="auto"/>
              <w:rPr>
                <w:rFonts w:hint="eastAsia"/>
                <w:sz w:val="24"/>
                <w:lang w:val="en-US" w:eastAsia="zh-CN"/>
              </w:rPr>
            </w:pPr>
          </w:p>
          <w:p>
            <w:pPr>
              <w:numPr>
                <w:ilvl w:val="0"/>
                <w:numId w:val="0"/>
              </w:numPr>
              <w:spacing w:line="240" w:lineRule="auto"/>
              <w:rPr>
                <w:rFonts w:hint="eastAsia"/>
                <w:sz w:val="24"/>
                <w:lang w:val="en-US" w:eastAsia="zh-CN"/>
              </w:rPr>
            </w:pPr>
          </w:p>
          <w:p>
            <w:pPr>
              <w:numPr>
                <w:ilvl w:val="0"/>
                <w:numId w:val="0"/>
              </w:numPr>
              <w:spacing w:line="240" w:lineRule="auto"/>
              <w:rPr>
                <w:rFonts w:hint="eastAsia"/>
                <w:sz w:val="24"/>
                <w:lang w:val="en-US" w:eastAsia="zh-CN"/>
              </w:rPr>
            </w:pPr>
          </w:p>
          <w:p>
            <w:pPr>
              <w:numPr>
                <w:ilvl w:val="0"/>
                <w:numId w:val="0"/>
              </w:numPr>
              <w:rPr>
                <w:rFonts w:hint="eastAsia"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9" w:hRule="atLeast"/>
        </w:trPr>
        <w:tc>
          <w:tcPr>
            <w:tcW w:w="8522" w:type="dxa"/>
            <w:gridSpan w:val="6"/>
            <w:noWrap w:val="0"/>
            <w:vAlign w:val="top"/>
          </w:tcPr>
          <w:p>
            <w:pPr>
              <w:pStyle w:val="2"/>
              <w:spacing w:before="150" w:beforeAutospacing="0" w:after="0" w:afterAutospacing="0" w:line="360" w:lineRule="auto"/>
              <w:rPr>
                <w:rFonts w:hint="eastAsia"/>
                <w:b w:val="0"/>
                <w:bCs/>
                <w:sz w:val="24"/>
                <w:szCs w:val="24"/>
              </w:rPr>
            </w:pPr>
            <w:r>
              <w:rPr>
                <w:rFonts w:hint="eastAsia"/>
                <w:b/>
                <w:sz w:val="28"/>
                <w:szCs w:val="28"/>
              </w:rPr>
              <w:t>学习心得：</w:t>
            </w:r>
          </w:p>
          <w:p>
            <w:pPr>
              <w:pStyle w:val="2"/>
              <w:spacing w:before="150" w:beforeAutospacing="0" w:after="0" w:afterAutospacing="0" w:line="360" w:lineRule="auto"/>
              <w:ind w:firstLine="560" w:firstLineChars="200"/>
              <w:rPr>
                <w:rFonts w:hint="eastAsia"/>
                <w:b w:val="0"/>
                <w:bCs w:val="0"/>
                <w:sz w:val="28"/>
                <w:szCs w:val="28"/>
              </w:rPr>
            </w:pPr>
            <w:bookmarkStart w:id="0" w:name="_GoBack"/>
            <w:bookmarkEnd w:id="0"/>
            <w:r>
              <w:rPr>
                <w:rFonts w:hint="eastAsia"/>
                <w:b w:val="0"/>
                <w:bCs w:val="0"/>
                <w:sz w:val="28"/>
                <w:szCs w:val="28"/>
              </w:rPr>
              <w:t>推进足球进校园是促进我国足球运动事业发展的有效途径。小学足球应基于“学、练、赛”一 体化,坚持体教融合,注重多样化评价,提高足球教学效率,促进学生多元化发展。</w:t>
            </w:r>
          </w:p>
          <w:p>
            <w:pPr>
              <w:pStyle w:val="2"/>
              <w:spacing w:before="150" w:beforeAutospacing="0" w:after="0" w:afterAutospacing="0" w:line="360" w:lineRule="auto"/>
              <w:rPr>
                <w:b w:val="0"/>
                <w:bCs w:val="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2QwMzUyOTQ0YTg3YzZmMjIzZTAzMzZmOTE1ZjgifQ=="/>
  </w:docVars>
  <w:rsids>
    <w:rsidRoot w:val="00000000"/>
    <w:rsid w:val="065A3441"/>
    <w:rsid w:val="2EE97B20"/>
    <w:rsid w:val="47056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2024-05-17T00:12:18Z</dcterms:created>
  <dc:creator>Administrator</dc:creator>
  <cp:lastModifiedBy>SO. YONG.</cp:lastModifiedBy>
  <dcterms:modified xsi:type="dcterms:W3CDTF">2024-05-17T00:25:51Z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40E454A3A969475B8FAD3682890C9764_12</vt:lpwstr>
  </property>
</Properties>
</file>