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r>
        <w:rPr>
          <w:rFonts w:hint="eastAsia" w:ascii="黑体" w:hAnsi="黑体" w:eastAsia="黑体"/>
          <w:b/>
          <w:sz w:val="36"/>
          <w:szCs w:val="36"/>
        </w:rPr>
        <w:t>学习札记</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01" w:type="dxa"/>
            <w:noWrap w:val="0"/>
            <w:vAlign w:val="center"/>
          </w:tcPr>
          <w:p>
            <w:pPr>
              <w:rPr>
                <w:b/>
                <w:sz w:val="28"/>
                <w:szCs w:val="28"/>
              </w:rPr>
            </w:pPr>
            <w:r>
              <w:rPr>
                <w:rFonts w:hint="eastAsia"/>
                <w:b/>
                <w:sz w:val="28"/>
                <w:szCs w:val="28"/>
              </w:rPr>
              <w:t>学习人</w:t>
            </w:r>
          </w:p>
        </w:tc>
        <w:tc>
          <w:tcPr>
            <w:tcW w:w="850" w:type="dxa"/>
            <w:noWrap w:val="0"/>
            <w:vAlign w:val="center"/>
          </w:tcPr>
          <w:p>
            <w:pPr>
              <w:rPr>
                <w:rFonts w:hint="eastAsia" w:eastAsia="宋体"/>
                <w:sz w:val="28"/>
                <w:szCs w:val="28"/>
                <w:lang w:val="en-US" w:eastAsia="zh-CN"/>
              </w:rPr>
            </w:pPr>
            <w:r>
              <w:rPr>
                <w:rFonts w:hint="eastAsia"/>
                <w:sz w:val="28"/>
                <w:szCs w:val="28"/>
                <w:lang w:val="en-US" w:eastAsia="zh-CN"/>
              </w:rPr>
              <w:t>金赟</w:t>
            </w:r>
          </w:p>
        </w:tc>
        <w:tc>
          <w:tcPr>
            <w:tcW w:w="1559" w:type="dxa"/>
            <w:noWrap w:val="0"/>
            <w:vAlign w:val="center"/>
          </w:tcPr>
          <w:p>
            <w:pPr>
              <w:rPr>
                <w:b/>
                <w:sz w:val="28"/>
                <w:szCs w:val="28"/>
              </w:rPr>
            </w:pPr>
            <w:r>
              <w:rPr>
                <w:rFonts w:hint="eastAsia"/>
                <w:b/>
                <w:sz w:val="28"/>
                <w:szCs w:val="28"/>
              </w:rPr>
              <w:t>摘录来源</w:t>
            </w:r>
          </w:p>
        </w:tc>
        <w:tc>
          <w:tcPr>
            <w:tcW w:w="2127" w:type="dxa"/>
            <w:noWrap w:val="0"/>
            <w:vAlign w:val="center"/>
          </w:tcPr>
          <w:p>
            <w:pPr>
              <w:rPr>
                <w:rFonts w:hint="eastAsia" w:eastAsia="宋体"/>
                <w:sz w:val="24"/>
                <w:lang w:eastAsia="zh-CN"/>
              </w:rPr>
            </w:pPr>
            <w:r>
              <w:rPr>
                <w:rFonts w:hint="eastAsia"/>
                <w:sz w:val="24"/>
                <w:lang w:eastAsia="zh-CN"/>
              </w:rPr>
              <w:t>《知网》</w:t>
            </w:r>
          </w:p>
        </w:tc>
        <w:tc>
          <w:tcPr>
            <w:tcW w:w="1559" w:type="dxa"/>
            <w:noWrap w:val="0"/>
            <w:vAlign w:val="center"/>
          </w:tcPr>
          <w:p>
            <w:pPr>
              <w:rPr>
                <w:b/>
                <w:sz w:val="28"/>
                <w:szCs w:val="28"/>
              </w:rPr>
            </w:pPr>
            <w:r>
              <w:rPr>
                <w:rFonts w:hint="eastAsia"/>
                <w:b/>
                <w:sz w:val="28"/>
                <w:szCs w:val="28"/>
              </w:rPr>
              <w:t>学习时间</w:t>
            </w:r>
          </w:p>
        </w:tc>
        <w:tc>
          <w:tcPr>
            <w:tcW w:w="1326" w:type="dxa"/>
            <w:noWrap w:val="0"/>
            <w:vAlign w:val="center"/>
          </w:tcPr>
          <w:p>
            <w:pPr>
              <w:rPr>
                <w:rFonts w:hint="default" w:eastAsia="宋体"/>
                <w:sz w:val="28"/>
                <w:szCs w:val="28"/>
                <w:lang w:val="en-US" w:eastAsia="zh-CN"/>
              </w:rPr>
            </w:pPr>
            <w:r>
              <w:rPr>
                <w:rFonts w:hint="eastAsia"/>
                <w:sz w:val="28"/>
                <w:szCs w:val="28"/>
                <w:lang w:val="en-US" w:eastAsia="zh-CN"/>
              </w:rPr>
              <w:t>2024.4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3" w:hRule="atLeast"/>
        </w:trPr>
        <w:tc>
          <w:tcPr>
            <w:tcW w:w="8522" w:type="dxa"/>
            <w:gridSpan w:val="6"/>
            <w:noWrap w:val="0"/>
            <w:vAlign w:val="top"/>
          </w:tcPr>
          <w:p>
            <w:pPr>
              <w:numPr>
                <w:ilvl w:val="0"/>
                <w:numId w:val="0"/>
              </w:numPr>
              <w:rPr>
                <w:rFonts w:hint="eastAsia"/>
                <w:b/>
                <w:sz w:val="24"/>
              </w:rPr>
            </w:pPr>
            <w:r>
              <w:rPr>
                <w:rFonts w:hint="eastAsia"/>
                <w:b/>
                <w:sz w:val="24"/>
              </w:rPr>
              <w:t>学习内容：基于“学、练、赛”一体化四年级“足球运球突破”主题大单元教学设计</w:t>
            </w:r>
          </w:p>
          <w:p>
            <w:pPr>
              <w:numPr>
                <w:ilvl w:val="0"/>
                <w:numId w:val="0"/>
              </w:numPr>
              <w:rPr>
                <w:rFonts w:hint="eastAsia" w:eastAsia="宋体"/>
                <w:sz w:val="24"/>
                <w:lang w:val="en-US" w:eastAsia="zh-CN"/>
              </w:rPr>
            </w:pPr>
            <w:r>
              <w:drawing>
                <wp:inline distT="0" distB="0" distL="114300" distR="114300">
                  <wp:extent cx="5269230" cy="3451860"/>
                  <wp:effectExtent l="0" t="0" r="762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34518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8522" w:type="dxa"/>
            <w:gridSpan w:val="6"/>
            <w:noWrap w:val="0"/>
            <w:vAlign w:val="top"/>
          </w:tcPr>
          <w:p>
            <w:pPr>
              <w:pStyle w:val="2"/>
              <w:spacing w:before="150" w:beforeAutospacing="0" w:after="0" w:afterAutospacing="0" w:line="360" w:lineRule="auto"/>
              <w:rPr>
                <w:rFonts w:hint="eastAsia"/>
                <w:b w:val="0"/>
                <w:bCs/>
                <w:sz w:val="24"/>
                <w:szCs w:val="24"/>
              </w:rPr>
            </w:pPr>
            <w:r>
              <w:rPr>
                <w:rFonts w:hint="eastAsia"/>
                <w:b/>
                <w:sz w:val="28"/>
                <w:szCs w:val="28"/>
              </w:rPr>
              <w:t>学习心得：</w:t>
            </w:r>
          </w:p>
          <w:p>
            <w:pPr>
              <w:pStyle w:val="2"/>
              <w:spacing w:before="150" w:beforeAutospacing="0" w:after="0" w:afterAutospacing="0" w:line="360" w:lineRule="auto"/>
              <w:rPr>
                <w:rFonts w:hint="eastAsia"/>
                <w:b w:val="0"/>
                <w:bCs w:val="0"/>
                <w:sz w:val="28"/>
                <w:szCs w:val="28"/>
                <w:lang w:eastAsia="zh-CN"/>
              </w:rPr>
            </w:pPr>
            <w:r>
              <w:rPr>
                <w:rFonts w:hint="eastAsia"/>
                <w:b w:val="0"/>
                <w:bCs w:val="0"/>
                <w:sz w:val="28"/>
                <w:szCs w:val="28"/>
              </w:rPr>
              <w:t>足球项目属于专项运动技能球类项目的重要组成部分，在课程实施的部分教学建议中提到要设计专项运动技能的大单元教学</w:t>
            </w:r>
            <w:r>
              <w:rPr>
                <w:rFonts w:hint="eastAsia"/>
                <w:b w:val="0"/>
                <w:bCs w:val="0"/>
                <w:sz w:val="28"/>
                <w:szCs w:val="28"/>
                <w:lang w:eastAsia="zh-CN"/>
              </w:rPr>
              <w:t>，发展学生在复杂比赛情境中合理选择运球突破技术的能力。</w:t>
            </w:r>
          </w:p>
          <w:p>
            <w:pPr>
              <w:pStyle w:val="2"/>
              <w:spacing w:before="150" w:beforeAutospacing="0" w:after="0" w:afterAutospacing="0" w:line="360" w:lineRule="auto"/>
              <w:rPr>
                <w:rFonts w:hint="eastAsia" w:eastAsia="宋体"/>
                <w:b w:val="0"/>
                <w:bCs w:val="0"/>
                <w:sz w:val="28"/>
                <w:szCs w:val="28"/>
                <w:lang w:eastAsia="zh-CN"/>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00000000"/>
    <w:rsid w:val="0E8C2C83"/>
    <w:rsid w:val="18EF453A"/>
    <w:rsid w:val="31C52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2024-05-17T00:14:04Z</dcterms:created>
  <dc:creator>Administrator</dc:creator>
  <cp:lastModifiedBy>SO. YONG.</cp:lastModifiedBy>
  <dcterms:modified xsi:type="dcterms:W3CDTF">2024-05-17T00:46:35Z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860815021C154E038CD13664B34891BD_12</vt:lpwstr>
  </property>
</Properties>
</file>