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(4.10)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实到28人。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5" name="流程图: 摘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95pt;margin-top:5.1pt;height:9pt;width:8.4pt;z-index:251659264;v-text-anchor:middle;mso-width-relative:page;mso-height-relative:page;" filled="f" stroked="t" coordsize="21600,21600" o:gfxdata="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I7mKK2AAAAAkBAAAPAAAAAAAAAAEA&#10;IAAAACIAAABkcnMvZG93bnJldi54bWxQSwECFAAUAAAACACHTuJAWwvSz4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24130</wp:posOffset>
                      </wp:positionV>
                      <wp:extent cx="106680" cy="114300"/>
                      <wp:effectExtent l="10160" t="15240" r="20320" b="7620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35pt;margin-top:1.9pt;height:9pt;width:8.4pt;z-index:251660288;v-text-anchor:middle;mso-width-relative:page;mso-height-relative:page;" filled="f" stroked="t" coordsize="21600,21600" o:gfxdata="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R5eELXAAAACAEAAA8AAAAAAAAAAQAg&#10;AAAAIgAAAGRycy9kb3ducmV2LnhtbFBLAQIUABQAAAAIAIdO4kAtqAOm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二、健康《好吃的粗粮》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粗粮是未经过加工的谷物和杂粮，它有着丰富的纤维素和维生素，有益于幼儿的身体健康。</w:t>
      </w:r>
      <w:r>
        <w:rPr>
          <w:rFonts w:hint="eastAsia"/>
        </w:rPr>
        <w:t>本活动主要通过谈话、</w:t>
      </w:r>
      <w:r>
        <w:rPr>
          <w:rFonts w:hint="eastAsia"/>
          <w:lang w:val="en-US" w:eastAsia="zh-CN"/>
        </w:rPr>
        <w:t>观看视频</w:t>
      </w:r>
      <w:r>
        <w:rPr>
          <w:rFonts w:hint="eastAsia"/>
        </w:rPr>
        <w:t>图片等方法来使孩子了解</w:t>
      </w:r>
      <w:r>
        <w:rPr>
          <w:rFonts w:hint="eastAsia"/>
          <w:lang w:eastAsia="zh-CN"/>
        </w:rPr>
        <w:t>不同</w:t>
      </w:r>
      <w:r>
        <w:rPr>
          <w:rFonts w:hint="eastAsia"/>
          <w:lang w:val="en-US" w:eastAsia="zh-CN"/>
        </w:rPr>
        <w:t>粗粮</w:t>
      </w:r>
      <w:r>
        <w:rPr>
          <w:rFonts w:hint="eastAsia"/>
        </w:rPr>
        <w:t>的营养价值以及</w:t>
      </w:r>
      <w:r>
        <w:rPr>
          <w:rFonts w:hint="eastAsia"/>
          <w:lang w:val="en-US" w:eastAsia="zh-CN"/>
        </w:rPr>
        <w:t>粗粮</w:t>
      </w:r>
      <w:r>
        <w:rPr>
          <w:rFonts w:hint="eastAsia"/>
        </w:rPr>
        <w:t>的不同烹饪做法，</w:t>
      </w:r>
      <w:r>
        <w:rPr>
          <w:rFonts w:hint="eastAsia"/>
          <w:lang w:val="en-US" w:eastAsia="zh-CN"/>
        </w:rPr>
        <w:t>从而养成不挑食的好习惯。我班幼儿对粗粮有一定的认知，因此在活动中孩子们的表达欲望很强，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王秋逸、易永恒、丁载誉、樊晏清、邵祉琛、刘与一、蔡镇远、崔子瑜、陶书宇、李一凡、嵇羽晞、管亦星、陈怡何、陈艺茹、孙瑞晗、朱柯逸、徐佳一、曹婳、顾一冉、朱天文、黄雅萌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能在集体中说一说自己知道的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各种粗粮，也能够分享各种粗粮的美食。通过视频讲解，孩子们对粗粮有了更深的了解，知道粗粮含有丰富的营养，对人的身体有益。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区域活动是让幼儿自由选择、自发探索的自主活动，有相对宽松的活动氛围，灵活多样的活动形式，幼儿能按自己的兴趣、能力来进行活动，因而它能给幼儿带来更多体验成功的机会。</w:t>
      </w:r>
    </w:p>
    <w:tbl>
      <w:tblPr>
        <w:tblStyle w:val="8"/>
        <w:tblpPr w:leftFromText="180" w:rightFromText="180" w:vertAnchor="text" w:horzAnchor="page" w:tblpX="1075" w:tblpY="30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7" name="图片 7" descr="D:/2024年新龙中班/中班下/班级动态/新建文件夹/4.11/IMG_3879.JPGIMG_3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4.11/IMG_3879.JPGIMG_38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" name="图片 2" descr="D:/2024年新龙中班/中班下/班级动态/新建文件夹/4.11/IMG_3880.JPGIMG_3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/2024年新龙中班/中班下/班级动态/新建文件夹/4.11/IMG_3880.JPGIMG_38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4.11/IMG_3881.JPGIMG_3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4.11/IMG_3881.JPGIMG_38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1875" b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婳婳跟中三班小朋友一起在表演区玩音乐游戏。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萌萌在益智区尝试用各种图形拼搭，并记录图形数量。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洋洋在图书区听故事，并根据问题完成对应小游戏。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32385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" name="图片 1" descr="D:/2024年新龙中班/中班下/班级动态/新建文件夹/4.11/IMG_3882.JPGIMG_3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2024年新龙中班/中班下/班级动态/新建文件夹/4.11/IMG_3882.JPGIMG_38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30480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8" name="图片 8" descr="D:/2024年新龙中班/中班下/班级动态/新建文件夹/4.11/IMG_3883.JPGIMG_3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4年新龙中班/中班下/班级动态/新建文件夹/4.11/IMG_3883.JPGIMG_38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凡凡在科探区玩旋转莲花游戏，在泥工板上放点水，轻轻倾斜泥工板，小莲花就转动起来了。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晗晗在科探区玩陀螺。探索陀螺转起来的花纹变化。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1.为了丰富幼儿餐后游戏种类，请家长们在家给孩子准备1—2本绘本，幼儿用餐后可以自主阅读。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2.上周我们共同与孩子们一起创设乐音乐区。为了给孩子们提供更多多元的游戏体验，现向家长们征集一个可以发声的小话筒一个。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B5730A8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6144696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9B05F0A"/>
    <w:rsid w:val="1A073B05"/>
    <w:rsid w:val="1A0D196A"/>
    <w:rsid w:val="1AEC4CFD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CC5EBA"/>
    <w:rsid w:val="276E6F72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6FA4EBE"/>
    <w:rsid w:val="372A47A8"/>
    <w:rsid w:val="381C405F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9A4C67"/>
    <w:rsid w:val="42D41759"/>
    <w:rsid w:val="42E31DDA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07796B"/>
    <w:rsid w:val="5111795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95A7416"/>
    <w:rsid w:val="59812CE5"/>
    <w:rsid w:val="59BC7AA1"/>
    <w:rsid w:val="5A0233C6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907943"/>
    <w:rsid w:val="78A05677"/>
    <w:rsid w:val="794F00D5"/>
    <w:rsid w:val="79511291"/>
    <w:rsid w:val="79AE4579"/>
    <w:rsid w:val="7A543372"/>
    <w:rsid w:val="7A787181"/>
    <w:rsid w:val="7B3F5288"/>
    <w:rsid w:val="7BD06A2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4</TotalTime>
  <ScaleCrop>false</ScaleCrop>
  <LinksUpToDate>false</LinksUpToDate>
  <CharactersWithSpaces>623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2024-04-09T23:47:00Z</cp:lastPrinted>
  <dcterms:modified xsi:type="dcterms:W3CDTF">2024-04-23T09:19:59Z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7518CF0FBA374760A463D905A015751F_13</vt:lpwstr>
  </property>
</Properties>
</file>