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提高常见事例的使用价值</w:t>
      </w:r>
    </w:p>
    <w:p/>
    <w:p>
      <w:r>
        <w:drawing>
          <wp:inline distT="0" distB="0" distL="114300" distR="114300">
            <wp:extent cx="3888105" cy="2477770"/>
            <wp:effectExtent l="0" t="0" r="13335" b="6350"/>
            <wp:docPr id="4" name="图片 3" descr="Screenshot_20240328_091318_edit_941308491150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Screenshot_20240328_091318_edit_941308491150813"/>
                    <pic:cNvPicPr>
                      <a:picLocks noChangeAspect="1"/>
                    </pic:cNvPicPr>
                  </pic:nvPicPr>
                  <pic:blipFill>
                    <a:blip r:embed="rId4"/>
                    <a:srcRect l="3502" t="17067" r="8399" b="10053"/>
                    <a:stretch>
                      <a:fillRect/>
                    </a:stretch>
                  </pic:blipFill>
                  <pic:spPr>
                    <a:xfrm>
                      <a:off x="0" y="0"/>
                      <a:ext cx="3888105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学习任务一：从“苏武牧羊”和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项羽之死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中选取一个事例，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模仿上面的形式，</w:t>
      </w:r>
      <w:r>
        <w:rPr>
          <w:rFonts w:hint="eastAsia" w:ascii="宋体" w:hAnsi="宋体" w:eastAsia="宋体" w:cs="宋体"/>
          <w:sz w:val="24"/>
          <w:szCs w:val="24"/>
        </w:rPr>
        <w:t>用联想法对他进行解读，并从联想结果中指出能用此事例论证的论点。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学习任务二；从上一节环节的联想结果中选取一个与事例有关的话题，用“苏武牧羊”和“项羽之死”，依照“分论点+事例描述+分析”的思维模式，对所选话题进行片段写作。（100字左右）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范例：项羽之死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u w:val="single"/>
          <w:lang w:val="en-US" w:eastAsia="zh-CN"/>
        </w:rPr>
        <w:t>我们要敢于正视自己的不足。（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分论点</w:t>
      </w:r>
      <w:r>
        <w:rPr>
          <w:rFonts w:hint="eastAsia"/>
          <w:sz w:val="24"/>
          <w:szCs w:val="24"/>
          <w:u w:val="single"/>
          <w:lang w:val="en-US"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>项羽在垓下被汉军重重包围，东城突围，项羽兵剩无几，危急时刻，他言道：今卒困于此，此天之亡我，非战之罪也。面对危机，他没有客观分析自己用兵用人的过失，而是一味归咎于天命。如果他能正视自己的不足，理性思考失败的原因，成败异变、功业相反的奇迹未尝不会在他身上重现。（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事例分析</w:t>
      </w:r>
      <w:r>
        <w:rPr>
          <w:rFonts w:hint="eastAsia"/>
          <w:sz w:val="24"/>
          <w:szCs w:val="24"/>
          <w:lang w:val="en-US" w:eastAsia="zh-CN"/>
        </w:rPr>
        <w:t>）因此我们要敢于正视自己的不足。（</w:t>
      </w:r>
      <w:r>
        <w:rPr>
          <w:rFonts w:hint="eastAsia"/>
          <w:b/>
          <w:bCs/>
          <w:sz w:val="24"/>
          <w:szCs w:val="24"/>
          <w:lang w:val="en-US" w:eastAsia="zh-CN"/>
        </w:rPr>
        <w:t>总结</w:t>
      </w:r>
      <w:r>
        <w:rPr>
          <w:rFonts w:hint="eastAsia"/>
          <w:sz w:val="24"/>
          <w:szCs w:val="24"/>
          <w:lang w:val="en-US" w:eastAsia="zh-CN"/>
        </w:rPr>
        <w:t>）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</w:p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</w:p>
    <w:p>
      <w:pPr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学习任务三：完成写作后，4人一小组交流心得、互批互评。最终选择小组典型作品进行全班交流。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学习任务四：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班级有位同学的片段写作如下；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路漫漫其修远兮，唯有坚守方得正果。我们一生总会面临无数的方向，在花红柳绿的路上，若不能坚守自我，终会迷失方向。苏武出使匈奴，面对敌人的威逼，他选择以死抵抗，面对敌人的利诱，他选择忍辱负重，19年后，他终于回到了汉城，这就是他对初心的坚守。</w:t>
      </w: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在论述过程中有一些问题，</w:t>
      </w:r>
      <w:r>
        <w:rPr>
          <w:rFonts w:hint="eastAsia"/>
          <w:sz w:val="24"/>
          <w:szCs w:val="24"/>
          <w:u w:val="single"/>
          <w:lang w:val="en-US" w:eastAsia="zh-CN"/>
        </w:rPr>
        <w:t>请大家讨论后指出问题并尝试修改。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素材补充：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苏武牧羊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西汉时期，汉武帝派大臣苏武等为使者出使西域同匈奴单于修好，由于汉朝降将鍭侯王的反叛，单于大怒，扣押了苏武等人，劝其投降。苏武宁死不屈，坚决不降，被迫沦为匈奴的奴隶在茫茫草原上放羊，19年后才回到汉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初，单于派卫律向苏武游说，许以高官厚禄，苏武严辞拒绝了。匈奴见劝说没有用，就决定用酷刑。正值严冬，鹅毛大雪。单于把苏武关进露天的大地穴，断绝食品和水，苏武在地窖里受尽了折磨。渴了，他就吃一把雪，饿了，就嚼身上穿的羊皮袄，冷了，就缩在角里与皮袄取暖。单于不忍心杀苏武，又不想让他返回大汉，决定把苏武流放到北海去牧羊。与苏武作伴的，是那根代表汉朝的旄节和一小群羊。苏武每天拿着旄节放羊，心想总有一天能够拿着回到自己的国家。渴了，就吃一把雪，饿了，就挖野鼠收集的野果充饥，冷了，就与羊取暖。这样日复一日，年复一年，旄节上挂着的旄牛尾装饰物都掉光了，苏武的头发和胡须也都白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项羽之死：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王军壁垓下，兵少食尽，汉军及诸侯兵围之数重。夜闻汉军四面皆楚歌，项王乃大惊曰：“汉皆已得楚乎？是何楚人之多也！”项王则夜起，饮帐中。有美人名虞，常幸从；骏马名骓，常骑之。于是项王乃悲歌慷慨，自为诗曰：“力拔山兮气盖世，时不利兮骓不逝。骓不逝兮可奈何，虞兮虞兮奈若何！”歌数阕，美人和之。项王泣数行下，左右皆泣，莫能仰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于是项王乃上马骑，麾下壮士骑从者八百余人，直夜溃围南出，驰走。平明，汉军乃觉之，令骑将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instrText xml:space="preserve"> HYPERLINK "https://baike.baidu.com/item/%E7%81%8C%E5%A9%B4/974832?fromModule=lemma_inlink" \t "https://baike.baidu.com/item/%E9%A1%B9%E7%BE%BD%E4%B9%8B%E6%AD%BB/_blank" </w:instrTex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灌婴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以五千骑追之。项王渡淮，骑能属者百余人耳。项王至阴陵，迷失道，问一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instrText xml:space="preserve"> HYPERLINK "https://baike.baidu.com/item/%E7%94%B0%E7%88%B6/13207304?fromModule=lemma_inlink" \t "https://baike.baidu.com/item/%E9%A1%B9%E7%BE%BD%E4%B9%8B%E6%AD%BB/_blank" </w:instrTex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田父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，田父绐曰“左”。左，乃陷大泽中。以故汉追及之。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王乃复引兵而东，至东城，乃有二十八骑。汉骑追者数千人。项王自度不得脱。谓其骑曰：“吾起兵至今八岁矣，身七十余战，所当者破，所击者服，未尝败北，遂霸有天下。然今卒困于此，此天之亡我，非战之罪也。今日固决死，愿为诸君快战，必三胜之，为诸君溃围，斩将，刈旗，令诸君知天亡我，非战之罪也。””————《史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楚汉战争中项羽被刘邦打败后，项羽带领八百人马突出重围，水到乌江江畔，这时乌江亭长劝项羽赶快渡江，以图东山再起、报仇雪恨，可是项羽却笑着说：“天之亡我，我何渡为！且籍与江东了弟八千人波江而西，今无一人还，纵江东父兄怜而王我，我何面日火正！纵彼不言，籍独不愧于心乎！"于是拔剑自刎而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相关链接——课文《鸿门宴》，楚汉战争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OGRiYmI5ZTI5OWQyYWY1MWNhNzk5OTRiNTMwNDUifQ=="/>
  </w:docVars>
  <w:rsids>
    <w:rsidRoot w:val="00000000"/>
    <w:rsid w:val="38DE6540"/>
    <w:rsid w:val="7E90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2024-03-28T07:29:00Z</dcterms:created>
  <dc:creator>石文珍</dc:creator>
  <cp:lastModifiedBy>Echo1381713415</cp:lastModifiedBy>
  <dcterms:modified xsi:type="dcterms:W3CDTF">2024-03-28T08:41:21Z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BA89486161E64BF9B19F6D198806C1A6_12</vt:lpwstr>
  </property>
</Properties>
</file>