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最美人间四月天，共谱教研新美篇</w:t>
      </w:r>
    </w:p>
    <w:p>
      <w:pPr>
        <w:ind w:firstLine="420"/>
        <w:rPr>
          <w:rFonts w:hint="eastAsia"/>
          <w:lang w:val="en-US" w:eastAsia="zh-CN"/>
        </w:rPr>
      </w:pPr>
      <w:r>
        <w:rPr>
          <w:rFonts w:hint="eastAsia"/>
          <w:lang w:val="en-US" w:eastAsia="zh-CN"/>
        </w:rPr>
        <w:t>最美人间四月天，共谱教研新美篇。在这春意盎然的季节里，祁琴花小学英语优秀教师培育室的小伙伴们在新北区龙虎塘实验小学开展了第八次活动。</w:t>
      </w:r>
    </w:p>
    <w:p>
      <w:pPr>
        <w:jc w:val="center"/>
        <w:rPr>
          <w:rFonts w:hint="default"/>
          <w:lang w:val="en-US" w:eastAsia="zh-CN"/>
        </w:rPr>
      </w:pPr>
      <w:r>
        <w:rPr>
          <w:rFonts w:hint="eastAsia"/>
          <w:b/>
          <w:bCs/>
          <w:lang w:val="en-US" w:eastAsia="zh-CN"/>
        </w:rPr>
        <w:t>课堂展示、研思同行</w:t>
      </w:r>
    </w:p>
    <w:p>
      <w:pPr>
        <w:ind w:firstLine="420" w:firstLineChars="200"/>
        <w:rPr>
          <w:rFonts w:hint="eastAsia"/>
          <w:lang w:val="en-US" w:eastAsia="zh-CN"/>
        </w:rPr>
      </w:pPr>
      <w:r>
        <w:rPr>
          <w:rFonts w:hint="eastAsia"/>
          <w:lang w:val="en-US" w:eastAsia="zh-CN"/>
        </w:rPr>
        <w:t>第一节课是由龙虎塘实验小学的沈欣怡老师带来的四上Unit 5 Seasons Story time的教学。沈老师运用《上春山》的英文版歌曲进行导入，吸引学生的注意，为学习春天的诗歌做准备；接着通过chant学习4个季节的天气和颜色；随后运用What can you see in...？ What do people do in...?两个问题放手学生自主学习夏天、秋天和冬天；最后沈老师还拓展了各个季节还可以进行的活动，为最后创作自己喜欢的小诗提供了更丰富的语言。</w:t>
      </w:r>
    </w:p>
    <w:p>
      <w:pPr>
        <w:ind w:firstLine="420" w:firstLineChars="200"/>
        <w:rPr>
          <w:rFonts w:hint="eastAsia"/>
          <w:lang w:val="en-US" w:eastAsia="zh-CN"/>
        </w:rPr>
      </w:pPr>
    </w:p>
    <w:p>
      <w:pPr>
        <w:ind w:firstLine="420" w:firstLineChars="200"/>
        <w:rPr>
          <w:rFonts w:hint="default"/>
          <w:lang w:val="en-US" w:eastAsia="zh-CN"/>
        </w:rPr>
      </w:pPr>
      <w:r>
        <w:rPr>
          <w:rFonts w:hint="default"/>
          <w:lang w:val="en-US" w:eastAsia="zh-CN"/>
        </w:rPr>
        <w:drawing>
          <wp:inline distT="0" distB="0" distL="114300" distR="114300">
            <wp:extent cx="2430145" cy="1522095"/>
            <wp:effectExtent l="0" t="0" r="8255" b="1905"/>
            <wp:docPr id="1" name="图片 1" descr="(Z[1SUVLK6(636Y{JG$Z%EP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1SUVLK6(636Y{JG$Z%EP_tmb"/>
                    <pic:cNvPicPr>
                      <a:picLocks noChangeAspect="1"/>
                    </pic:cNvPicPr>
                  </pic:nvPicPr>
                  <pic:blipFill>
                    <a:blip r:embed="rId4"/>
                    <a:srcRect t="22776"/>
                    <a:stretch>
                      <a:fillRect/>
                    </a:stretch>
                  </pic:blipFill>
                  <pic:spPr>
                    <a:xfrm>
                      <a:off x="0" y="0"/>
                      <a:ext cx="2430145" cy="1522095"/>
                    </a:xfrm>
                    <a:prstGeom prst="rect">
                      <a:avLst/>
                    </a:prstGeom>
                  </pic:spPr>
                </pic:pic>
              </a:graphicData>
            </a:graphic>
          </wp:inline>
        </w:drawing>
      </w:r>
      <w:r>
        <w:rPr>
          <w:rFonts w:hint="eastAsia"/>
          <w:lang w:val="en-US" w:eastAsia="zh-CN"/>
        </w:rPr>
        <w:t xml:space="preserve"> </w:t>
      </w:r>
      <w:r>
        <w:rPr>
          <w:rFonts w:ascii="宋体" w:hAnsi="宋体" w:eastAsia="宋体" w:cs="宋体"/>
          <w:sz w:val="24"/>
          <w:szCs w:val="24"/>
        </w:rPr>
        <w:drawing>
          <wp:inline distT="0" distB="0" distL="114300" distR="114300">
            <wp:extent cx="2413000" cy="1512570"/>
            <wp:effectExtent l="0" t="0" r="635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rcRect t="16439"/>
                    <a:stretch>
                      <a:fillRect/>
                    </a:stretch>
                  </pic:blipFill>
                  <pic:spPr>
                    <a:xfrm>
                      <a:off x="0" y="0"/>
                      <a:ext cx="2413000" cy="1512570"/>
                    </a:xfrm>
                    <a:prstGeom prst="rect">
                      <a:avLst/>
                    </a:prstGeom>
                    <a:noFill/>
                    <a:ln w="9525">
                      <a:noFill/>
                    </a:ln>
                  </pic:spPr>
                </pic:pic>
              </a:graphicData>
            </a:graphic>
          </wp:inline>
        </w:drawing>
      </w:r>
    </w:p>
    <w:p>
      <w:pPr>
        <w:rPr>
          <w:rFonts w:hint="eastAsia"/>
          <w:lang w:val="en-US" w:eastAsia="zh-CN"/>
        </w:rPr>
      </w:pPr>
    </w:p>
    <w:p>
      <w:pPr>
        <w:ind w:firstLine="420" w:firstLineChars="200"/>
        <w:rPr>
          <w:rFonts w:hint="eastAsia"/>
          <w:lang w:val="en-US" w:eastAsia="zh-CN"/>
        </w:rPr>
      </w:pPr>
      <w:r>
        <w:rPr>
          <w:rFonts w:hint="eastAsia"/>
          <w:lang w:val="en-US" w:eastAsia="zh-CN"/>
        </w:rPr>
        <w:t>第二节课是由圩塘中心小学的朱丽佳老师带来的三下 Where</w:t>
      </w:r>
      <w:r>
        <w:rPr>
          <w:rFonts w:hint="default"/>
          <w:lang w:val="en-US" w:eastAsia="zh-CN"/>
        </w:rPr>
        <w:t>’</w:t>
      </w:r>
      <w:r>
        <w:rPr>
          <w:rFonts w:hint="eastAsia"/>
          <w:lang w:val="en-US" w:eastAsia="zh-CN"/>
        </w:rPr>
        <w:t>s the bird Fun time&amp;Cartoon time的教学。朱老师在交往互动中复习了story time的内容和重点句型： Where</w:t>
      </w:r>
      <w:r>
        <w:rPr>
          <w:rFonts w:hint="default"/>
          <w:lang w:val="en-US" w:eastAsia="zh-CN"/>
        </w:rPr>
        <w:t>’</w:t>
      </w:r>
      <w:r>
        <w:rPr>
          <w:rFonts w:hint="eastAsia"/>
          <w:lang w:val="en-US" w:eastAsia="zh-CN"/>
        </w:rPr>
        <w:t>s...? It</w:t>
      </w:r>
      <w:r>
        <w:rPr>
          <w:rFonts w:hint="default"/>
          <w:lang w:val="en-US" w:eastAsia="zh-CN"/>
        </w:rPr>
        <w:t>’</w:t>
      </w:r>
      <w:r>
        <w:rPr>
          <w:rFonts w:hint="eastAsia"/>
          <w:lang w:val="en-US" w:eastAsia="zh-CN"/>
        </w:rPr>
        <w:t>s on/ in/ under/behind...；接着借助fun time的小游戏操练了重点句型Is it on/ in/ under/behind...? Yes, it is./ No, it isn</w:t>
      </w:r>
      <w:r>
        <w:rPr>
          <w:rFonts w:hint="default"/>
          <w:lang w:val="en-US" w:eastAsia="zh-CN"/>
        </w:rPr>
        <w:t>’</w:t>
      </w:r>
      <w:r>
        <w:rPr>
          <w:rFonts w:hint="eastAsia"/>
          <w:lang w:val="en-US" w:eastAsia="zh-CN"/>
        </w:rPr>
        <w:t>t; 随后在hide and seek的情境中通过“看，听，读，演”学习了cartoon time的内容；最后朱老师还帮助学生构建本课所学知识框架并设计了自我评价表。</w:t>
      </w:r>
    </w:p>
    <w:p>
      <w:pPr>
        <w:jc w:val="center"/>
        <w:rPr>
          <w:rFonts w:hint="eastAsia"/>
          <w:lang w:val="en-US" w:eastAsia="zh-CN"/>
        </w:rPr>
      </w:pPr>
      <w:r>
        <w:rPr>
          <w:rFonts w:hint="eastAsia"/>
          <w:b/>
          <w:bCs/>
          <w:lang w:val="en-US" w:eastAsia="zh-CN"/>
        </w:rPr>
        <w:t>交流分享、智慧碰撞</w:t>
      </w:r>
    </w:p>
    <w:p>
      <w:pPr>
        <w:ind w:firstLine="420" w:firstLineChars="200"/>
        <w:rPr>
          <w:rFonts w:hint="eastAsia"/>
          <w:lang w:val="en-US" w:eastAsia="zh-CN"/>
        </w:rPr>
      </w:pPr>
      <w:r>
        <w:rPr>
          <w:rFonts w:hint="eastAsia"/>
          <w:lang w:val="en-US" w:eastAsia="zh-CN"/>
        </w:rPr>
        <w:t>两节课后，两位执教老师分别进行了说课，培育室的小伙伴们分组对两节课进行了交流分享。第一组和第四组的老师们认为沈老师的课堂运用《上春山》的歌曲导入紧贴热点，在整个课堂行进中由扶到放，层次清晰，用任务驱动，以活动推进，板书还体现了思维的可视化。第二组和第三组的老师认为朱老师的课堂气氛活跃，板块清晰；老师善于通过自己的语气、表情、朗读变化引导学生，调动学生的积极性；通过hide-and-seek这一个大情境串联fun time和cartoon time，让学生在游戏中享受学习的乐趣。</w:t>
      </w:r>
    </w:p>
    <w:p>
      <w:pPr>
        <w:rPr>
          <w:rFonts w:hint="default"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1219200" cy="1577340"/>
            <wp:effectExtent l="0" t="0" r="0" b="381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1219200" cy="1577340"/>
                    </a:xfrm>
                    <a:prstGeom prst="ellipse">
                      <a:avLst/>
                    </a:prstGeom>
                    <a:noFill/>
                    <a:ln w="9525">
                      <a:noFill/>
                    </a:ln>
                  </pic:spPr>
                </pic:pic>
              </a:graphicData>
            </a:graphic>
          </wp:inline>
        </w:drawing>
      </w:r>
      <w:r>
        <w:rPr>
          <w:rFonts w:ascii="宋体" w:hAnsi="宋体" w:eastAsia="宋体" w:cs="宋体"/>
          <w:sz w:val="24"/>
          <w:szCs w:val="24"/>
        </w:rPr>
        <w:drawing>
          <wp:inline distT="0" distB="0" distL="114300" distR="114300">
            <wp:extent cx="1290320" cy="1617345"/>
            <wp:effectExtent l="0" t="0" r="5080" b="190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1290320" cy="1617345"/>
                    </a:xfrm>
                    <a:prstGeom prst="ellipse">
                      <a:avLst/>
                    </a:prstGeom>
                    <a:noFill/>
                    <a:ln w="9525">
                      <a:noFill/>
                    </a:ln>
                  </pic:spPr>
                </pic:pic>
              </a:graphicData>
            </a:graphic>
          </wp:inline>
        </w:drawing>
      </w:r>
      <w:r>
        <w:rPr>
          <w:rFonts w:ascii="宋体" w:hAnsi="宋体" w:eastAsia="宋体" w:cs="宋体"/>
          <w:sz w:val="24"/>
          <w:szCs w:val="24"/>
        </w:rPr>
        <w:drawing>
          <wp:inline distT="0" distB="0" distL="114300" distR="114300">
            <wp:extent cx="1245870" cy="1605280"/>
            <wp:effectExtent l="0" t="0" r="11430" b="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8"/>
                    <a:srcRect l="26476" r="15241" b="-8302"/>
                    <a:stretch>
                      <a:fillRect/>
                    </a:stretch>
                  </pic:blipFill>
                  <pic:spPr>
                    <a:xfrm>
                      <a:off x="0" y="0"/>
                      <a:ext cx="1245870" cy="1605280"/>
                    </a:xfrm>
                    <a:prstGeom prst="ellipse">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320800" cy="1581150"/>
            <wp:effectExtent l="0" t="0" r="12700"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9"/>
                    <a:stretch>
                      <a:fillRect/>
                    </a:stretch>
                  </pic:blipFill>
                  <pic:spPr>
                    <a:xfrm>
                      <a:off x="0" y="0"/>
                      <a:ext cx="1320800" cy="1581150"/>
                    </a:xfrm>
                    <a:prstGeom prst="ellipse">
                      <a:avLst/>
                    </a:prstGeom>
                    <a:noFill/>
                    <a:ln w="9525">
                      <a:noFill/>
                    </a:ln>
                  </pic:spPr>
                </pic:pic>
              </a:graphicData>
            </a:graphic>
          </wp:inline>
        </w:drawing>
      </w:r>
    </w:p>
    <w:p>
      <w:pPr>
        <w:ind w:firstLine="480" w:firstLineChars="200"/>
        <w:rPr>
          <w:rFonts w:hint="eastAsia" w:ascii="宋体" w:hAnsi="宋体" w:eastAsia="宋体" w:cs="宋体"/>
          <w:sz w:val="24"/>
          <w:szCs w:val="24"/>
          <w:lang w:val="en-US" w:eastAsia="zh-CN"/>
        </w:rPr>
      </w:pPr>
    </w:p>
    <w:p>
      <w:pPr>
        <w:ind w:firstLine="420" w:firstLineChars="200"/>
        <w:rPr>
          <w:rFonts w:hint="eastAsia"/>
          <w:lang w:val="en-US" w:eastAsia="zh-CN"/>
        </w:rPr>
      </w:pPr>
      <w:bookmarkStart w:id="0" w:name="_GoBack"/>
      <w:bookmarkEnd w:id="0"/>
    </w:p>
    <w:p>
      <w:pPr>
        <w:jc w:val="center"/>
        <w:rPr>
          <w:rFonts w:hint="eastAsia"/>
          <w:b/>
          <w:bCs/>
          <w:lang w:val="en-US" w:eastAsia="zh-CN"/>
        </w:rPr>
      </w:pPr>
      <w:r>
        <w:rPr>
          <w:rFonts w:hint="eastAsia"/>
          <w:b/>
          <w:bCs/>
          <w:lang w:val="en-US" w:eastAsia="zh-CN"/>
        </w:rPr>
        <w:t>专家引领，高屋建瓴</w:t>
      </w:r>
    </w:p>
    <w:p>
      <w:pPr>
        <w:ind w:firstLine="420" w:firstLineChars="200"/>
        <w:rPr>
          <w:rFonts w:hint="eastAsia"/>
          <w:lang w:val="en-US" w:eastAsia="zh-CN"/>
        </w:rPr>
      </w:pPr>
    </w:p>
    <w:p>
      <w:pPr>
        <w:ind w:firstLine="480" w:firstLineChars="200"/>
        <w:rPr>
          <w:rFonts w:hint="eastAsia"/>
          <w:lang w:val="en-US" w:eastAsia="zh-CN"/>
        </w:rPr>
      </w:pPr>
      <w:r>
        <w:rPr>
          <w:rFonts w:ascii="宋体" w:hAnsi="宋体" w:eastAsia="宋体" w:cs="宋体"/>
          <w:sz w:val="24"/>
          <w:szCs w:val="24"/>
        </w:rPr>
        <w:drawing>
          <wp:inline distT="0" distB="0" distL="114300" distR="114300">
            <wp:extent cx="1941830" cy="1662430"/>
            <wp:effectExtent l="0" t="0" r="1270" b="1397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10"/>
                    <a:srcRect l="12333"/>
                    <a:stretch>
                      <a:fillRect/>
                    </a:stretch>
                  </pic:blipFill>
                  <pic:spPr>
                    <a:xfrm>
                      <a:off x="0" y="0"/>
                      <a:ext cx="1941830" cy="1662430"/>
                    </a:xfrm>
                    <a:prstGeom prst="round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hint="eastAsia"/>
          <w:lang w:val="en-US" w:eastAsia="zh-CN"/>
        </w:rPr>
        <w:t>最后，由祁校对两节课进行了高位指导，强调语言的自我习得，教师要帮助学生搭建语言框架，充分相信学生，给学生自主学习的机会；在课堂中给与学生深度思维的空间，不要局限学生的想象力和创造力；教师在设计活动的时候，要通过“看、读、听、说”等活动体现思维的可视化。</w:t>
      </w:r>
    </w:p>
    <w:p>
      <w:pPr>
        <w:ind w:firstLine="420" w:firstLineChars="200"/>
        <w:rPr>
          <w:rFonts w:hint="eastAsia"/>
          <w:lang w:val="en-US" w:eastAsia="zh-CN"/>
        </w:rPr>
      </w:pPr>
      <w:r>
        <w:rPr>
          <w:rFonts w:hint="eastAsia"/>
          <w:lang w:val="en-US" w:eastAsia="zh-CN"/>
        </w:rPr>
        <w:t>“吾生也有涯，而知也无涯”，研前有准备，研中有碰撞，研后有思考，教研是一场诗意的修行，是生命影响生命、生命温暖生命的旅程。相信培育室的小伙伴们定能在一次次的教研活动中，沉淀自我，厚积薄发，共同谱写教育的新美篇。</w:t>
      </w:r>
    </w:p>
    <w:p>
      <w:pPr>
        <w:ind w:firstLine="7140" w:firstLineChars="3400"/>
        <w:jc w:val="both"/>
        <w:rPr>
          <w:rFonts w:hint="eastAsia"/>
          <w:lang w:val="en-US" w:eastAsia="zh-CN"/>
        </w:rPr>
      </w:pPr>
      <w:r>
        <w:rPr>
          <w:rFonts w:hint="eastAsia"/>
          <w:lang w:val="en-US" w:eastAsia="zh-CN"/>
        </w:rPr>
        <w:t>撰稿： 赵璐</w:t>
      </w:r>
    </w:p>
    <w:p>
      <w:pPr>
        <w:ind w:firstLine="420" w:firstLineChars="200"/>
        <w:jc w:val="center"/>
        <w:rPr>
          <w:rFonts w:hint="default"/>
          <w:lang w:val="en-US" w:eastAsia="zh-CN"/>
        </w:rPr>
      </w:pPr>
      <w:r>
        <w:rPr>
          <w:rFonts w:hint="eastAsia"/>
          <w:lang w:val="en-US" w:eastAsia="zh-CN"/>
        </w:rPr>
        <w:t xml:space="preserve">                                                              摄影： 解美洁</w:t>
      </w:r>
    </w:p>
    <w:p>
      <w:pPr>
        <w:ind w:firstLine="420" w:firstLineChars="200"/>
        <w:jc w:val="right"/>
        <w:rPr>
          <w:rFonts w:hint="default"/>
          <w:lang w:val="en-US" w:eastAsia="zh-CN"/>
        </w:rPr>
      </w:pPr>
      <w:r>
        <w:rPr>
          <w:rFonts w:hint="eastAsia"/>
          <w:lang w:val="en-US" w:eastAsia="zh-CN"/>
        </w:rPr>
        <w:t xml:space="preserve">  编辑： 孙杨</w:t>
      </w:r>
    </w:p>
    <w:p>
      <w:pPr>
        <w:ind w:firstLine="420" w:firstLineChars="200"/>
        <w:jc w:val="center"/>
        <w:rPr>
          <w:rFonts w:hint="default"/>
          <w:lang w:val="en-US" w:eastAsia="zh-CN"/>
        </w:rPr>
      </w:pPr>
      <w:r>
        <w:rPr>
          <w:rFonts w:hint="eastAsia"/>
          <w:lang w:val="en-US" w:eastAsia="zh-CN"/>
        </w:rPr>
        <w:t xml:space="preserve">                                                               审核：祁琴花</w:t>
      </w:r>
    </w:p>
    <w:p>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ODU3ZDgxOGY1NWE0YTVjNjQ4NTA5ZTc3NzQ3ZWMifQ=="/>
  </w:docVars>
  <w:rsids>
    <w:rsidRoot w:val="754115C1"/>
    <w:rsid w:val="005A7208"/>
    <w:rsid w:val="06EB6E0C"/>
    <w:rsid w:val="07465D51"/>
    <w:rsid w:val="0F380715"/>
    <w:rsid w:val="0FA638D0"/>
    <w:rsid w:val="185C36C6"/>
    <w:rsid w:val="1AA6776E"/>
    <w:rsid w:val="237D6BE6"/>
    <w:rsid w:val="24F627AC"/>
    <w:rsid w:val="262D044F"/>
    <w:rsid w:val="2FCA31B3"/>
    <w:rsid w:val="36B349A1"/>
    <w:rsid w:val="399B6071"/>
    <w:rsid w:val="48297FEF"/>
    <w:rsid w:val="4E41068C"/>
    <w:rsid w:val="4F091C06"/>
    <w:rsid w:val="4F2C7FD8"/>
    <w:rsid w:val="65DC0944"/>
    <w:rsid w:val="68064081"/>
    <w:rsid w:val="6919422B"/>
    <w:rsid w:val="6BB23EF4"/>
    <w:rsid w:val="75151DA7"/>
    <w:rsid w:val="754115C1"/>
    <w:rsid w:val="774D3A7A"/>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2024-04-12T05:52:00Z</dcterms:created>
  <dc:creator>lululu璐</dc:creator>
  <cp:lastModifiedBy>lululu璐</cp:lastModifiedBy>
  <dcterms:modified xsi:type="dcterms:W3CDTF">2024-04-12T07:26:27Z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6C40BDD2EC0F4E8187F096254FB36D0A_11</vt:lpwstr>
  </property>
</Properties>
</file>