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采菱小学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级备案课题理论学习记录表</w:t>
      </w:r>
    </w:p>
    <w:tbl>
      <w:tblPr>
        <w:tblStyle w:val="4"/>
        <w:tblW w:w="0" w:type="auto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880"/>
        <w:gridCol w:w="1440"/>
        <w:gridCol w:w="24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课题名称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instrText xml:space="preserve"> HYPERLINK "http://www.clxx.wj.czedu.cn/html/node210650.html" \t "http://www.clxx.wj.czedu.cn/html/_blank"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</w:rPr>
              <w:t>游戏化翻转学习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  <w:lang w:val="en-US" w:eastAsia="zh-CN"/>
              </w:rPr>
              <w:t>在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</w:rPr>
              <w:t>小学英语教学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记录人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firstLine="555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蒋少微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学习时间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2023.10.16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标题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浅谈翻转课堂在英语阅读教学中的应用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来源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中国知网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主要内容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翻转课堂，又叫“颠倒课堂”，指在信息化环境下，学生在课前或课外观看教师提供的视频，完成对文本的自主学习，从而将课堂变成教师与学生、学生与学生之间互动完成作业答疑、协作探究和交流合作等活动的一种新型教学模式。这一教学模式依靠信息技术，颠覆了传统的课堂模式和教学方法，教师负责讲授知识，帮助学生搭建相应的知识框架，从而实现教学过程的翻转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翻转课堂在英语阅读教学中应用的可行性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翻转课堂在英语阅读教学中应用的意义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翻转课堂在英语阅读教学中的具体应用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课前阶段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设计预习任务清单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</w:rPr>
              <w:t>（2）制作教学视频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</w:rPr>
              <w:t>（3）观看教学视频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</w:rPr>
              <w:t>（4）完成课前学习任务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Chars="200" w:right="0" w:rightChars="0"/>
              <w:jc w:val="left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</w:rPr>
              <w:t>2.课中阶段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（1）创设教学情境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</w:rPr>
              <w:t>（2）组织专题讨论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3.课后阶段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（1）拓展和延伸学习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</w:rPr>
              <w:t>（2）总结和评价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心得体会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Chars="0" w:firstLine="480" w:firstLineChars="200"/>
              <w:jc w:val="left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</w:rPr>
              <w:t>随着信息技术的快速发展，当前大多数小学都为实施翻转课堂提供了诸多条件。如今大多数小学都基本采用多媒体进行教学，并且与相关的教学网络平台合作，实现了网络平台与课堂教学的链接。教师能够利用多媒体，以多种形式展现教学内容，帮助学生更好地内化与理解所学的知识。学生在课后也能够利用网络平台进行自主学习，为翻转课堂的应用提供了技术支持。在课前充分设计预习任务清单、制作教学视频，引导学生完成课前学习任务；在课堂中，通过创设情境与组织专题讨论，帮助学生更好地内化所学知识，完善知识体系；在课后进行学习拓展与延伸、总结与评价，能够调动学生学习英语的积极性，从而更好地提高小学英语阅读教学质量，提升学生的英语综合素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D269F"/>
    <w:multiLevelType w:val="singleLevel"/>
    <w:tmpl w:val="024D26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197EEE"/>
    <w:multiLevelType w:val="singleLevel"/>
    <w:tmpl w:val="34197E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mNjMGNkOTA0NmU5NmNjYjk4MWQwMDM3YTk4MGYifQ=="/>
  </w:docVars>
  <w:rsids>
    <w:rsidRoot w:val="00000000"/>
    <w:rsid w:val="09B82DF2"/>
    <w:rsid w:val="22124A61"/>
    <w:rsid w:val="38342418"/>
    <w:rsid w:val="3D5322F8"/>
    <w:rsid w:val="4105478E"/>
    <w:rsid w:val="418446B6"/>
    <w:rsid w:val="77C910A3"/>
    <w:rsid w:val="7F2E6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rPr>
      <w:rFonts w:ascii="宋体" w:hAnsi="宋体" w:eastAsia="宋体" w:cs="宋体"/>
      <w:b/>
      <w:bCs/>
      <w:sz w:val="45"/>
      <w:szCs w:val="45"/>
      <w:lang w:val="en-US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迷你墨</cp:lastModifiedBy>
  <dcterms:modified xsi:type="dcterms:W3CDTF">2024-03-31T02:40:41Z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D7A063D7E7314267BAC2278A0E0C6245_13</vt:lpwstr>
  </property>
</Properties>
</file>