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szCs w:val="32"/>
          <w:lang w:val="en-US" w:eastAsia="zh-CN"/>
        </w:rPr>
        <w:t>思维构建，文脉清晰</w:t>
      </w:r>
    </w:p>
    <w:p>
      <w:pPr>
        <w:jc w:val="center"/>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szCs w:val="32"/>
          <w:lang w:val="en-US" w:eastAsia="zh-CN"/>
        </w:rPr>
        <w:t>——中心观点及分论点建立与表达课例分析</w:t>
      </w:r>
    </w:p>
    <w:p>
      <w:pPr>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常州市第三中学  孔瑜</w:t>
      </w:r>
    </w:p>
    <w:p>
      <w:pPr>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摘要：</w:t>
      </w:r>
    </w:p>
    <w:p>
      <w:pPr>
        <w:ind w:firstLine="420" w:firstLineChars="0"/>
        <w:jc w:val="left"/>
        <w:rPr>
          <w:rFonts w:hint="eastAsia"/>
          <w:lang w:val="en-US" w:eastAsia="zh-CN"/>
        </w:rPr>
      </w:pPr>
      <w:r>
        <w:rPr>
          <w:rFonts w:hint="eastAsia" w:ascii="方正仿宋_GB2312" w:hAnsi="方正仿宋_GB2312" w:eastAsia="方正仿宋_GB2312" w:cs="方正仿宋_GB2312"/>
          <w:lang w:val="en-US" w:eastAsia="zh-CN"/>
        </w:rPr>
        <w:t>语言是重要的交际工具，也是重要的思维工具；语言的发展与思维的发展相互依存，相辅相成。随着新课改的不断深入，语言构建与思维构建成为作文教学重要的内容和教学目标。基于此，笔者结合作文题“热闹与枯燥”，设计了中心观点及分论点建立与表达专题课，由浅入深，分层次、多角度引导学生进行议论文思维结构的构建，培养文脉清晰的写作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一、背景介绍：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新课程标准指出语文课程在引导学生运用语文文字的同时发展思辨能力，提升思维品质。国家教育考试院也提出高中议论文写作的三个指导方向“文风端正、文脉清晰、文气沛然”，其中对于“文脉清晰”的具体阐释落实到三点：有层次有逻辑、有线索有结构、论点与论据切合。这一要求充分符合课标中指出的“语言文字运用和思维密切相关，语文教育必须同时促进学生思维能力的发展与思维品质的提升”这一基本理念，符合“语言建构与运用”“思维发展与提升”核心素养培养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语言能力与思维能力是密不可分的，要达到“文脉清晰”的写作要求，先要构建清晰、明确、有层次的思维。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二、主题内容：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本课例分两个阶段，第一阶段围绕“热闹与枯燥”作文题学习“如何表达中心论点”，从审题、提取核心关键词、分析概念间逻辑关系、明确中心论点几个小任务出发，逐步完成从提取信息、分析信息、理解语言、形成观点的逻辑思维过程。第二阶段在一阶段中心观点基础上，学习“如何展开并表述分论点”，以中心论点分解、核心概念分析、辩证思维、论点衔接、结构构建、分论点表述等任务为抓手，引导学生从信息整合、观点形成，再到观点分解、概念辨析、思维拓展，这一思维构建过程的练习，结合语言表达的引导，逐步建立文脉清晰的议论文结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第一阶段“如何表达中心论点”以话题“他山之石”为导入，对比分析两组中心论点表述上的区别，总结出好的思维表述的共性特征。</w:t>
      </w:r>
      <w:r>
        <w:rPr>
          <w:rFonts w:hint="eastAsia" w:ascii="方正仿宋_GB2312" w:hAnsi="方正仿宋_GB2312" w:eastAsia="方正仿宋_GB2312" w:cs="方正仿宋_GB2312"/>
          <w:sz w:val="24"/>
          <w:szCs w:val="24"/>
          <w:vertAlign w:val="baseline"/>
          <w:lang w:val="en-US" w:eastAsia="zh-CN"/>
        </w:rPr>
        <w:t>1.具有独立的话语方式；2.有复杂语句结构；3.有逻辑关联意识；4.有多样的表达方法。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其次，以“受束缚时学会在“包围”中求索，借用他山之石，开拓新境界”为例，引导学生如何打开思维，突破思维懒汉的惯性。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笔者尝试启发学生进一步思考：在“包围”中求索的局限有哪些？哪些是可以自身克服的？哪些是自身永远不可能克服的？分解核心关键词“求索的目的性”。接着用给“求索”加个宾语的形式，使其明确化，比如“视野之外的世界”“己所不能的技艺”等等。第三，进一步明确“借用他山之石”的目的，“开拓新境界”也就有了具体内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因此，原句可以修改为：受束缚时学会在“包围”中求索自己可能不认识的世界的另一面或是自己永远达不到的高度，因而借用他山之石，打开个人世界的另一扇门，让自己能摘到原本够不到的果实。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第二个任务以“热闹与枯燥”作文题为练习，进行审题中的思维构建。原题如下：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有人说，当今生活在消费主义和娱乐化环境中的一代人，常常被“精彩”惯坏了，他们不习惯过枯燥的生活，喜欢段子、金句、笑点等感官刺激，习惯将费力的文字转化成轻松的视听语言，植入笑点，以使自己远离枯燥，并运用各种现代传媒帮助自己消除各种“枯燥”。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但也有人认为，枯燥并不可怕，在很大程度上，它会成为生命的滋养。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楷体" w:hAnsi="楷体" w:eastAsia="楷体" w:cs="楷体"/>
          <w:sz w:val="21"/>
          <w:szCs w:val="21"/>
          <w:lang w:val="en-US" w:eastAsia="zh-CN"/>
        </w:rPr>
        <w:t>作为成长中的青年，你认为应该怎样对待“热闹”与“枯燥”?请结合自己的体验和思考，写一篇文章。</w:t>
      </w:r>
      <w:r>
        <w:rPr>
          <w:rFonts w:hint="eastAsia" w:ascii="方正仿宋_GB2312" w:hAnsi="方正仿宋_GB2312" w:eastAsia="方正仿宋_GB2312" w:cs="方正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在审题中，重点引导学生对核心概念的理解阐释、以及核心概念间关系的明确。以“种差+临近属概念”的思维方式，带领学生思考“热闹”和“枯燥”的内涵。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同时思考“热闹”与“枯燥”两个核心词之间的逻辑关系，辩证多角度思考两者关系的变量和定量。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最后思考“成长中的青年”对待“热闹与枯燥”的态度，并撰写中心论点。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在审题之后，与学生共同得出“表达中心论点”的初步方法：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核心概念有阐释，清晰明确；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限定条件有界定，指向明确；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逻辑关系有思考，层次分明；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中心观点能展开，利于分论；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词汇文采有手法，审美高级；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个性鲜明有风格，脱颖而出；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句式结构能复杂，不写单句。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第二阶段“如何展开和表述分论点”在中心论点的环节上进行分论点的阐述，通过比较分析，得出好的分论点具备的条件，及展开和阐述分论点的一般方法：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结构严谨（分论点与分论点、分论点与中心论点、开头与结尾都要逻辑关系。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限定表述对象的范围和界限，界定清晰，客观理性。</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关键概念阐释具体。</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分论点涉及不同角度，不做同意重复。</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文采夺人眼球，词汇、修辞、诗词、名句，手法多样而丰富。</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长句、复句来表述，不写单句。</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每个分论点要有内部逻辑（多层次辩证）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最后，学生依据要点，自主修改原稿。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三、实施成效：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示例1：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中心论点：我认为，作为网上消费娱乐的受众，尤其是年轻人，应当慎重对待“热闹”，沉心专注“枯燥”。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分论点1：首先，“热闹”并非真正意义上的愉悦。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分论点2：其次，“枯燥”也并非难让人心情愉悦。（于个体而言，现实中的枯燥是锤炼思想塑造人格的工具。/进一步说，于社会群体而言，枯燥是唤醒大众走向进步的良药。）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分论点3：诚然，热闹的网络娱乐与枯燥的工作生活并不是互相对立的。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分论点4：希望我们的世界不再止于“热闹”的一地鸡毛，也有“枯燥”的冷静思考。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示例2：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中心论点：枯燥而与精神舒畅的社会隔绝，是一种孤独；热闹却失去学术或意义的拥抱，亦是另一种孤独。我们因缘盛会，更应划枯燥扁舟，以热闹扬帆，在出世澄明与入世实践中，在理想与现实交相辉映中驶向辽阔天地，一览盛世全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引论：成长中的新生代们，面临着貌似两难的抉择，不断甄别，谱写出自己的个性回应。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分论点1：你可以选择热闹。但你需要当心！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分论点2：当然，你也不妨选择枯燥。但你也需谨记。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分论点3：其实，没有谁规定了热闹与枯燥不可以互济。枯燥与热闹的选择，从来不是单选。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结论：枯燥而与精神舒畅的社会隔绝，是一种孤独；热闹却失去学术或意义的拥抱，亦是另一种孤独。我们因缘盛会，更应划枯燥扁舟，以热闹扬帆，在出世澄明与入世实践中，在理想与现实交相辉映中驶向辽阔天地，一览盛世全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很明显，两个例子在对“热闹”与“枯燥”的概念阐释、关系界定上有自我的思考和思维逻辑，有明显的辩证思考过程，从例1至例2，学生思维的构建越来越完整，越来越复杂，越来越严密；语言的表达也能够在精准的同时追求个性化的特征。可见，经过引导和有层级的训练，学生的思维构建和语言表达可以被塑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四、问题与讨论：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目前，学生在中心论点及分论点思维构建与表述中仍存在一些问题，例如：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论点逻辑与题中材料逻辑有偏差或冲突。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关键词的涵义前后混乱，界定不清晰。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部分语言前后逻辑混乱、缺失、赘余、脱节等。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过度的使用比喻、象征导致句意含糊，无法理解。</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部分词汇的错误使用，造成病句、歧义等情况。</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由此可知，思维的构建是语言表达的基础，思维清晰了，语言才有表达的余地。一线教学中大量的假话、空话、错话、乱话、自说自话，追其本源是思维的混乱与空白。因此，在高考作文的复习引导中，对思维的构建和引导是解决语言理解和表达的切口。</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0"/>
        <w:jc w:val="left"/>
        <w:textAlignment w:val="auto"/>
        <w:rPr>
          <w:rFonts w:hint="eastAsia" w:ascii="方正仿宋_GB2312" w:hAnsi="方正仿宋_GB2312" w:eastAsia="方正仿宋_GB2312" w:cs="方正仿宋_GB2312"/>
          <w:sz w:val="24"/>
          <w:szCs w:val="24"/>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参考文献：</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r>
        <w:rPr>
          <w:rFonts w:hint="default" w:ascii="方正仿宋_GB2312" w:hAnsi="方正仿宋_GB2312" w:eastAsia="方正仿宋_GB2312" w:cs="方正仿宋_GB2312"/>
          <w:sz w:val="24"/>
          <w:szCs w:val="24"/>
          <w:lang w:val="en-US" w:eastAsia="zh-CN"/>
        </w:rPr>
        <w:t>978-7-107-34738-2.普通高中语文课程标准（2017年版2020年修订）[S]</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[2]郭家海.写作教学表现标准体系的建构[J].中学语文，2013，(16)：16-17.</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r>
        <w:rPr>
          <w:rFonts w:hint="default" w:ascii="方正仿宋_GB2312" w:hAnsi="方正仿宋_GB2312" w:eastAsia="方正仿宋_GB2312" w:cs="方正仿宋_GB2312"/>
          <w:sz w:val="24"/>
          <w:szCs w:val="24"/>
          <w:lang w:val="en-US" w:eastAsia="zh-CN"/>
        </w:rPr>
        <w:t>郑桂华.略谈指向语文关键能力培养的教学策略[J].中学语文教学，2018,(5).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D158DD-F19A-4FD1-8339-8D75F186F0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4C1C8874-28B7-45B6-AC8A-170495E0F962}"/>
  </w:font>
  <w:font w:name="方正大标宋简体">
    <w:altName w:val="方正大标宋简体"/>
    <w:panose1 w:val="02000000000000000000"/>
    <w:charset w:val="86"/>
    <w:family w:val="auto"/>
    <w:pitch w:val="default"/>
    <w:sig w:usb0="A00002BF" w:usb1="184F6CFA" w:usb2="00000012" w:usb3="00000000" w:csb0="00040001" w:csb1="00000000"/>
    <w:embedRegular r:id="rId3" w:fontKey="{A9B5C489-4174-4E28-81F8-FC39009AE967}"/>
  </w:font>
  <w:font w:name="方正仿宋_GB2312">
    <w:altName w:val="方正仿宋_GB2312"/>
    <w:panose1 w:val="02000000000000000000"/>
    <w:charset w:val="86"/>
    <w:family w:val="auto"/>
    <w:pitch w:val="default"/>
    <w:sig w:usb0="A00002BF" w:usb1="184F6CFA" w:usb2="00000012" w:usb3="00000000" w:csb0="00040001" w:csb1="00000000"/>
    <w:embedRegular r:id="rId4" w:fontKey="{C5DFB37D-7063-4069-87E2-88D54E8248E1}"/>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5FA5F"/>
    <w:multiLevelType w:val="singleLevel"/>
    <w:tmpl w:val="E895FA5F"/>
    <w:lvl w:ilvl="0" w:tentative="0">
      <w:start w:val="1"/>
      <w:numFmt w:val="decimal"/>
      <w:suff w:val="space"/>
      <w:lvlText w:val="%1."/>
      <w:lvlJc w:val="left"/>
    </w:lvl>
  </w:abstractNum>
  <w:abstractNum w:abstractNumId="1">
    <w:nsid w:val="46C94E20"/>
    <w:multiLevelType w:val="singleLevel"/>
    <w:tmpl w:val="46C94E20"/>
    <w:lvl w:ilvl="0" w:tentative="0">
      <w:start w:val="1"/>
      <w:numFmt w:val="decimal"/>
      <w:lvlText w:val="%1."/>
      <w:lvlJc w:val="left"/>
      <w:pPr>
        <w:tabs>
          <w:tab w:val="left" w:pos="312"/>
        </w:tabs>
      </w:pPr>
    </w:lvl>
  </w:abstractNum>
  <w:abstractNum w:abstractNumId="2">
    <w:nsid w:val="6665B00B"/>
    <w:multiLevelType w:val="singleLevel"/>
    <w:tmpl w:val="6665B00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C2415"/>
    <w:rsid w:val="07396E01"/>
    <w:rsid w:val="0DE720BB"/>
    <w:rsid w:val="20062169"/>
    <w:rsid w:val="278161E6"/>
    <w:rsid w:val="2C3D2ACD"/>
    <w:rsid w:val="3A304F3B"/>
    <w:rsid w:val="40287C10"/>
    <w:rsid w:val="4BAB0F3F"/>
    <w:rsid w:val="4FC54D29"/>
    <w:rsid w:val="5201764F"/>
    <w:rsid w:val="5CDE4D1E"/>
    <w:rsid w:val="5CEC2415"/>
    <w:rsid w:val="6B7F5D1F"/>
    <w:rsid w:val="73142AD7"/>
    <w:rsid w:val="798F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2022-07-05T01:14:00Z</dcterms:created>
  <dc:creator>我不知道</dc:creator>
  <cp:lastModifiedBy>我不知道</cp:lastModifiedBy>
  <dcterms:modified xsi:type="dcterms:W3CDTF">2022-07-08T03:03:13Z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457CE356CB9147C6A733D6458A9652EA</vt:lpwstr>
  </property>
</Properties>
</file>