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中二、中三表演游戏计划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1.提供角色脸部彩绘，继续引导幼儿学会用彩笔在脸上画出相应角色特征，从而进一步优化装扮环节。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2.与幼儿一起优化表演游戏场景、收集相关道具。发动家长一起收集相关废旧材料。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3.尝试运用不同的语调、表情、动作表现角色的性格特征。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4.会选择自己喜欢的角色进行游戏，在游戏中学会协商、轮流扮演角色，合作完成游戏。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5.在孩子此次故事表演玩得很溜的情况下，教师通过提问形式带领尝试简单创编故事，如：增加动物角色等，并尝试表演。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wZmJiYTg5ZTNkZWYwOTY1OWU3NTNkODViZTU0MzIifQ=="/>
  </w:docVars>
  <w:rsids>
    <w:rsidRoot w:val="529A286F"/>
    <w:rsid w:val="529A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2024-01-23T04:43:00Z</dcterms:created>
  <dc:creator>同同1385467072</dc:creator>
  <cp:lastModifiedBy>同同1385467072</cp:lastModifiedBy>
  <dcterms:modified xsi:type="dcterms:W3CDTF">2024-01-23T04:59:50Z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EDA7CB3A6A8A4D50BFAE68801263F563_11</vt:lpwstr>
  </property>
</Properties>
</file>