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sz w:val="32"/>
          <w:szCs w:val="32"/>
        </w:rPr>
      </w:pPr>
      <w:r>
        <w:rPr>
          <w:rFonts w:hint="eastAsia" w:ascii="宋体" w:hAnsi="宋体" w:eastAsia="宋体" w:cs="宋体"/>
          <w:b/>
          <w:sz w:val="32"/>
          <w:szCs w:val="32"/>
        </w:rPr>
        <w:t>附件二</w:t>
      </w:r>
    </w:p>
    <w:p>
      <w:pPr>
        <w:jc w:val="center"/>
        <w:rPr>
          <w:rFonts w:hint="eastAsia" w:ascii="宋体" w:hAnsi="宋体" w:eastAsia="宋体" w:cs="宋体"/>
          <w:b/>
          <w:sz w:val="32"/>
          <w:szCs w:val="32"/>
        </w:rPr>
      </w:pPr>
      <w:r>
        <w:rPr>
          <w:rFonts w:hint="eastAsia" w:ascii="宋体" w:hAnsi="宋体" w:eastAsia="宋体" w:cs="宋体"/>
          <w:b/>
          <w:sz w:val="32"/>
          <w:szCs w:val="32"/>
        </w:rPr>
        <w:t>1．</w:t>
      </w:r>
      <w:r>
        <w:rPr>
          <w:rFonts w:hint="eastAsia" w:ascii="宋体" w:hAnsi="宋体" w:eastAsia="宋体" w:cs="宋体"/>
          <w:bCs/>
          <w:sz w:val="32"/>
          <w:szCs w:val="32"/>
        </w:rPr>
        <w:t>2022</w:t>
      </w:r>
      <w:r>
        <w:rPr>
          <w:rFonts w:hint="eastAsia" w:ascii="宋体" w:hAnsi="宋体" w:eastAsia="宋体" w:cs="宋体"/>
          <w:b/>
          <w:sz w:val="32"/>
          <w:szCs w:val="32"/>
        </w:rPr>
        <w:t>年 江苏省优秀幼儿教育论文申报表</w:t>
      </w:r>
    </w:p>
    <w:p>
      <w:pPr>
        <w:jc w:val="center"/>
        <w:rPr>
          <w:rFonts w:hint="eastAsia" w:ascii="宋体" w:hAnsi="宋体" w:eastAsia="宋体" w:cs="宋体"/>
          <w:sz w:val="28"/>
          <w:szCs w:val="28"/>
        </w:rPr>
      </w:pPr>
      <w:r>
        <w:rPr>
          <w:rFonts w:hint="eastAsia" w:ascii="宋体" w:hAnsi="宋体" w:eastAsia="宋体" w:cs="宋体"/>
          <w:sz w:val="24"/>
        </w:rPr>
        <w:t>（由作者填写）</w:t>
      </w:r>
    </w:p>
    <w:tbl>
      <w:tblPr>
        <w:tblStyle w:val="4"/>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1819"/>
        <w:gridCol w:w="641"/>
        <w:gridCol w:w="1365"/>
        <w:gridCol w:w="945"/>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tabs>
                <w:tab w:val="left" w:pos="1575"/>
              </w:tabs>
              <w:ind w:right="210" w:rightChars="100"/>
              <w:jc w:val="center"/>
              <w:rPr>
                <w:rFonts w:hint="eastAsia" w:ascii="宋体" w:hAnsi="宋体" w:eastAsia="宋体" w:cs="宋体"/>
                <w:b/>
                <w:sz w:val="24"/>
              </w:rPr>
            </w:pPr>
            <w:r>
              <w:rPr>
                <w:rFonts w:hint="eastAsia" w:ascii="宋体" w:hAnsi="宋体" w:eastAsia="宋体" w:cs="宋体"/>
                <w:sz w:val="24"/>
              </w:rPr>
              <w:t>论文题目</w:t>
            </w:r>
          </w:p>
        </w:tc>
        <w:tc>
          <w:tcPr>
            <w:tcW w:w="6496" w:type="dxa"/>
            <w:gridSpan w:val="5"/>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b w:val="0"/>
                <w:bCs/>
                <w:sz w:val="24"/>
              </w:rPr>
            </w:pPr>
            <w:r>
              <w:rPr>
                <w:rFonts w:hint="eastAsia" w:ascii="宋体" w:hAnsi="宋体" w:eastAsia="宋体" w:cs="宋体"/>
                <w:b w:val="0"/>
                <w:bCs/>
                <w:sz w:val="24"/>
              </w:rPr>
              <w:t>情境启动下生态运动游戏对幼儿亲社会行为的影响</w:t>
            </w:r>
          </w:p>
          <w:p>
            <w:pPr>
              <w:jc w:val="center"/>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rPr>
            </w:pPr>
            <w:r>
              <w:rPr>
                <w:rFonts w:hint="eastAsia" w:ascii="宋体" w:hAnsi="宋体" w:eastAsia="宋体" w:cs="宋体"/>
                <w:sz w:val="24"/>
              </w:rPr>
              <w:t>作者姓名</w:t>
            </w:r>
          </w:p>
        </w:tc>
        <w:tc>
          <w:tcPr>
            <w:tcW w:w="181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lang w:val="en-US" w:eastAsia="zh-CN"/>
              </w:rPr>
            </w:pPr>
            <w:r>
              <w:rPr>
                <w:rFonts w:hint="eastAsia" w:ascii="宋体" w:hAnsi="宋体" w:eastAsia="宋体" w:cs="宋体"/>
                <w:sz w:val="24"/>
                <w:lang w:val="en-US" w:eastAsia="zh-CN"/>
              </w:rPr>
              <w:t>王珏</w:t>
            </w:r>
          </w:p>
        </w:tc>
        <w:tc>
          <w:tcPr>
            <w:tcW w:w="2006"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rPr>
            </w:pPr>
            <w:r>
              <w:rPr>
                <w:rFonts w:hint="eastAsia" w:ascii="宋体" w:hAnsi="宋体" w:eastAsia="宋体" w:cs="宋体"/>
                <w:sz w:val="24"/>
              </w:rPr>
              <w:t>合作者</w:t>
            </w:r>
          </w:p>
          <w:p>
            <w:pPr>
              <w:rPr>
                <w:rFonts w:hint="eastAsia" w:ascii="宋体" w:hAnsi="宋体" w:eastAsia="宋体" w:cs="宋体"/>
                <w:sz w:val="24"/>
              </w:rPr>
            </w:pPr>
            <w:r>
              <w:rPr>
                <w:rFonts w:hint="eastAsia" w:ascii="宋体" w:hAnsi="宋体" w:eastAsia="宋体" w:cs="宋体"/>
                <w:sz w:val="24"/>
              </w:rPr>
              <w:t>（最多一人）</w:t>
            </w:r>
          </w:p>
        </w:tc>
        <w:tc>
          <w:tcPr>
            <w:tcW w:w="2671"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sz w:val="24"/>
              </w:rPr>
            </w:pPr>
            <w:r>
              <w:rPr>
                <w:rFonts w:hint="eastAsia" w:ascii="宋体" w:hAnsi="宋体" w:eastAsia="宋体" w:cs="宋体"/>
                <w:sz w:val="24"/>
              </w:rPr>
              <w:t>单位名称</w:t>
            </w:r>
          </w:p>
        </w:tc>
        <w:tc>
          <w:tcPr>
            <w:tcW w:w="3825"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lang w:val="en-US" w:eastAsia="zh-CN"/>
              </w:rPr>
            </w:pPr>
            <w:r>
              <w:rPr>
                <w:rFonts w:hint="eastAsia" w:ascii="宋体" w:hAnsi="宋体" w:eastAsia="宋体" w:cs="宋体"/>
                <w:sz w:val="24"/>
                <w:lang w:val="en-US" w:eastAsia="zh-CN"/>
              </w:rPr>
              <w:t>常州市天宁区雕庄中心幼儿园</w:t>
            </w:r>
          </w:p>
        </w:tc>
        <w:tc>
          <w:tcPr>
            <w:tcW w:w="94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rPr>
            </w:pPr>
            <w:r>
              <w:rPr>
                <w:rFonts w:hint="eastAsia" w:ascii="宋体" w:hAnsi="宋体" w:eastAsia="宋体" w:cs="宋体"/>
                <w:sz w:val="24"/>
              </w:rPr>
              <w:t>邮政</w:t>
            </w:r>
          </w:p>
          <w:p>
            <w:pPr>
              <w:rPr>
                <w:rFonts w:hint="eastAsia" w:ascii="宋体" w:hAnsi="宋体" w:eastAsia="宋体" w:cs="宋体"/>
                <w:sz w:val="24"/>
              </w:rPr>
            </w:pPr>
            <w:r>
              <w:rPr>
                <w:rFonts w:hint="eastAsia" w:ascii="宋体" w:hAnsi="宋体" w:eastAsia="宋体" w:cs="宋体"/>
                <w:sz w:val="24"/>
              </w:rPr>
              <w:t>编码</w:t>
            </w:r>
          </w:p>
        </w:tc>
        <w:tc>
          <w:tcPr>
            <w:tcW w:w="172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lang w:val="en-US" w:eastAsia="zh-CN"/>
              </w:rPr>
            </w:pPr>
            <w:r>
              <w:rPr>
                <w:rFonts w:hint="eastAsia" w:ascii="宋体" w:hAnsi="宋体" w:eastAsia="宋体" w:cs="宋体"/>
                <w:sz w:val="24"/>
                <w:lang w:val="en-US" w:eastAsia="zh-CN"/>
              </w:rPr>
              <w:t>213000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rPr>
            </w:pPr>
            <w:r>
              <w:rPr>
                <w:rFonts w:hint="eastAsia" w:ascii="宋体" w:hAnsi="宋体" w:eastAsia="宋体" w:cs="宋体"/>
                <w:sz w:val="24"/>
              </w:rPr>
              <w:t>联系电话</w:t>
            </w:r>
          </w:p>
        </w:tc>
        <w:tc>
          <w:tcPr>
            <w:tcW w:w="2460"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lang w:val="en-US" w:eastAsia="zh-CN"/>
              </w:rPr>
            </w:pPr>
            <w:r>
              <w:rPr>
                <w:rFonts w:hint="eastAsia" w:ascii="宋体" w:hAnsi="宋体" w:eastAsia="宋体" w:cs="宋体"/>
                <w:sz w:val="24"/>
                <w:lang w:val="en-US" w:eastAsia="zh-CN"/>
              </w:rPr>
              <w:t>15061965676</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rPr>
            </w:pPr>
            <w:r>
              <w:rPr>
                <w:rFonts w:hint="eastAsia" w:ascii="宋体" w:hAnsi="宋体" w:eastAsia="宋体" w:cs="宋体"/>
                <w:sz w:val="24"/>
              </w:rPr>
              <w:t>电子邮箱</w:t>
            </w:r>
          </w:p>
        </w:tc>
        <w:tc>
          <w:tcPr>
            <w:tcW w:w="2671"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lang w:val="en-US" w:eastAsia="zh-CN"/>
              </w:rPr>
            </w:pPr>
            <w:r>
              <w:rPr>
                <w:rFonts w:hint="eastAsia" w:ascii="宋体" w:hAnsi="宋体" w:eastAsia="宋体" w:cs="宋体"/>
                <w:sz w:val="24"/>
                <w:lang w:val="en-US" w:eastAsia="zh-CN"/>
              </w:rPr>
              <w:t>786192414@qq.com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6"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rPr>
            </w:pPr>
            <w:r>
              <w:rPr>
                <w:rFonts w:hint="eastAsia" w:ascii="宋体" w:hAnsi="宋体" w:eastAsia="宋体" w:cs="宋体"/>
                <w:sz w:val="24"/>
              </w:rPr>
              <w:t>论文关键词及有无发表</w:t>
            </w:r>
          </w:p>
        </w:tc>
        <w:tc>
          <w:tcPr>
            <w:tcW w:w="6496" w:type="dxa"/>
            <w:gridSpan w:val="5"/>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val="0"/>
                <w:bCs/>
                <w:sz w:val="24"/>
              </w:rPr>
            </w:pPr>
            <w:r>
              <w:rPr>
                <w:rFonts w:hint="eastAsia" w:ascii="宋体" w:hAnsi="宋体" w:eastAsia="宋体" w:cs="宋体"/>
                <w:b w:val="0"/>
                <w:bCs/>
                <w:sz w:val="24"/>
              </w:rPr>
              <w:t>关键词</w:t>
            </w:r>
            <w:r>
              <w:rPr>
                <w:rFonts w:hint="eastAsia" w:ascii="宋体" w:hAnsi="宋体" w:eastAsia="宋体" w:cs="宋体"/>
                <w:b w:val="0"/>
                <w:bCs/>
                <w:sz w:val="24"/>
                <w:lang w:eastAsia="zh-CN"/>
              </w:rPr>
              <w:t>：</w:t>
            </w:r>
            <w:r>
              <w:rPr>
                <w:rFonts w:hint="eastAsia" w:ascii="宋体" w:hAnsi="宋体" w:eastAsia="宋体" w:cs="宋体"/>
                <w:b w:val="0"/>
                <w:bCs/>
                <w:sz w:val="24"/>
              </w:rPr>
              <w:t xml:space="preserve">情境 </w:t>
            </w:r>
            <w:r>
              <w:rPr>
                <w:rFonts w:hint="eastAsia" w:ascii="宋体" w:hAnsi="宋体" w:eastAsia="宋体" w:cs="宋体"/>
                <w:b w:val="0"/>
                <w:bCs/>
                <w:sz w:val="24"/>
              </w:rPr>
              <w:t xml:space="preserve"> </w:t>
            </w:r>
            <w:r>
              <w:rPr>
                <w:rFonts w:hint="eastAsia" w:ascii="宋体" w:hAnsi="宋体" w:eastAsia="宋体" w:cs="宋体"/>
                <w:b w:val="0"/>
                <w:bCs/>
                <w:sz w:val="24"/>
              </w:rPr>
              <w:t xml:space="preserve">生态运动  亲社会行为 </w:t>
            </w:r>
          </w:p>
          <w:p>
            <w:pPr>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2"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rPr>
            </w:pPr>
            <w:r>
              <w:rPr>
                <w:rFonts w:hint="eastAsia" w:ascii="宋体" w:hAnsi="宋体" w:eastAsia="宋体" w:cs="宋体"/>
                <w:sz w:val="24"/>
              </w:rPr>
              <w:t>诚信承诺</w:t>
            </w:r>
          </w:p>
        </w:tc>
        <w:tc>
          <w:tcPr>
            <w:tcW w:w="6496" w:type="dxa"/>
            <w:gridSpan w:val="5"/>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1．本论文主要论点、论据为本人原创，没有剽窃和抄袭。</w:t>
            </w:r>
          </w:p>
          <w:p>
            <w:pPr>
              <w:rPr>
                <w:rFonts w:hint="eastAsia" w:ascii="宋体" w:hAnsi="宋体" w:eastAsia="宋体" w:cs="宋体"/>
                <w:sz w:val="24"/>
              </w:rPr>
            </w:pPr>
            <w:r>
              <w:rPr>
                <w:rFonts w:hint="eastAsia" w:ascii="宋体" w:hAnsi="宋体" w:eastAsia="宋体" w:cs="宋体"/>
                <w:sz w:val="24"/>
              </w:rPr>
              <w:t>2.主办单位如将本作品公示、上网或发表，本人表示同意（  ）、不同意（  ）。</w:t>
            </w:r>
          </w:p>
          <w:p>
            <w:pPr>
              <w:rPr>
                <w:rFonts w:hint="eastAsia" w:ascii="宋体" w:hAnsi="宋体" w:eastAsia="宋体" w:cs="宋体"/>
                <w:sz w:val="24"/>
              </w:rPr>
            </w:pPr>
            <w:r>
              <w:rPr>
                <w:rFonts w:hint="eastAsia" w:ascii="宋体" w:hAnsi="宋体" w:eastAsia="宋体" w:cs="宋体"/>
                <w:sz w:val="24"/>
              </w:rPr>
              <w:t xml:space="preserve">                                    </w:t>
            </w:r>
          </w:p>
          <w:p>
            <w:pPr>
              <w:ind w:firstLine="3240" w:firstLineChars="1350"/>
              <w:rPr>
                <w:rFonts w:hint="eastAsia" w:ascii="宋体" w:hAnsi="宋体" w:eastAsia="宋体" w:cs="宋体"/>
                <w:sz w:val="24"/>
              </w:rPr>
            </w:pPr>
            <w:r>
              <w:rPr>
                <w:rFonts w:hint="eastAsia" w:ascii="宋体" w:hAnsi="宋体" w:eastAsia="宋体" w:cs="宋体"/>
                <w:sz w:val="24"/>
              </w:rPr>
              <w:t>承诺人签字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5"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rPr>
            </w:pPr>
            <w:r>
              <w:rPr>
                <w:rFonts w:hint="eastAsia" w:ascii="宋体" w:hAnsi="宋体" w:eastAsia="宋体" w:cs="宋体"/>
                <w:sz w:val="24"/>
              </w:rPr>
              <w:t>初评等级及评语</w:t>
            </w:r>
          </w:p>
          <w:p>
            <w:pPr>
              <w:rPr>
                <w:rFonts w:hint="eastAsia" w:ascii="宋体" w:hAnsi="宋体" w:eastAsia="宋体" w:cs="宋体"/>
                <w:sz w:val="24"/>
              </w:rPr>
            </w:pPr>
            <w:r>
              <w:rPr>
                <w:rFonts w:hint="eastAsia" w:ascii="宋体" w:hAnsi="宋体" w:eastAsia="宋体" w:cs="宋体"/>
                <w:sz w:val="24"/>
              </w:rPr>
              <w:t>（省学会）</w:t>
            </w:r>
          </w:p>
        </w:tc>
        <w:tc>
          <w:tcPr>
            <w:tcW w:w="6496" w:type="dxa"/>
            <w:gridSpan w:val="5"/>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宋体" w:hAnsi="宋体" w:eastAsia="宋体" w:cs="宋体"/>
                <w:sz w:val="24"/>
              </w:rPr>
            </w:pPr>
          </w:p>
          <w:p>
            <w:pPr>
              <w:widowControl/>
              <w:rPr>
                <w:rFonts w:hint="eastAsia" w:ascii="宋体" w:hAnsi="宋体" w:eastAsia="宋体" w:cs="宋体"/>
                <w:sz w:val="24"/>
              </w:rPr>
            </w:pPr>
          </w:p>
          <w:p>
            <w:pPr>
              <w:widowControl/>
              <w:rPr>
                <w:rFonts w:hint="eastAsia" w:ascii="宋体" w:hAnsi="宋体" w:eastAsia="宋体" w:cs="宋体"/>
                <w:sz w:val="24"/>
              </w:rPr>
            </w:pPr>
          </w:p>
          <w:p>
            <w:pPr>
              <w:widowControl/>
              <w:rPr>
                <w:rFonts w:hint="eastAsia" w:ascii="宋体" w:hAnsi="宋体" w:eastAsia="宋体" w:cs="宋体"/>
                <w:sz w:val="24"/>
              </w:rPr>
            </w:pPr>
          </w:p>
          <w:p>
            <w:pPr>
              <w:widowControl/>
              <w:rPr>
                <w:rFonts w:hint="eastAsia" w:ascii="宋体" w:hAnsi="宋体" w:eastAsia="宋体" w:cs="宋体"/>
                <w:sz w:val="24"/>
              </w:rPr>
            </w:pPr>
          </w:p>
          <w:p>
            <w:pPr>
              <w:widowControl/>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 xml:space="preserve">等级：           评委签字：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5"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专家复评等级</w:t>
            </w:r>
          </w:p>
          <w:p>
            <w:pPr>
              <w:rPr>
                <w:rFonts w:hint="eastAsia" w:ascii="宋体" w:hAnsi="宋体" w:eastAsia="宋体" w:cs="宋体"/>
                <w:sz w:val="24"/>
              </w:rPr>
            </w:pPr>
          </w:p>
        </w:tc>
        <w:tc>
          <w:tcPr>
            <w:tcW w:w="6496" w:type="dxa"/>
            <w:gridSpan w:val="5"/>
            <w:tcBorders>
              <w:top w:val="single" w:color="auto" w:sz="4" w:space="0"/>
              <w:left w:val="single" w:color="auto" w:sz="4" w:space="0"/>
              <w:bottom w:val="single" w:color="auto" w:sz="4" w:space="0"/>
              <w:right w:val="single" w:color="auto" w:sz="4" w:space="0"/>
            </w:tcBorders>
            <w:noWrap w:val="0"/>
            <w:vAlign w:val="top"/>
          </w:tcPr>
          <w:p>
            <w:pPr>
              <w:widowControl/>
              <w:ind w:left="3894" w:leftChars="-1860" w:hanging="7800" w:hangingChars="3250"/>
              <w:rPr>
                <w:rFonts w:hint="eastAsia" w:ascii="宋体" w:hAnsi="宋体" w:eastAsia="宋体" w:cs="宋体"/>
                <w:sz w:val="24"/>
              </w:rPr>
            </w:pPr>
            <w:r>
              <w:rPr>
                <w:rFonts w:hint="eastAsia" w:ascii="宋体" w:hAnsi="宋体" w:eastAsia="宋体" w:cs="宋体"/>
                <w:sz w:val="24"/>
              </w:rPr>
              <w:t xml:space="preserve">                                </w:t>
            </w:r>
          </w:p>
          <w:p>
            <w:pPr>
              <w:widowControl/>
              <w:ind w:left="3894" w:leftChars="-1860" w:hanging="7800" w:hangingChars="3250"/>
              <w:rPr>
                <w:rFonts w:hint="eastAsia" w:ascii="宋体" w:hAnsi="宋体" w:eastAsia="宋体" w:cs="宋体"/>
                <w:sz w:val="24"/>
              </w:rPr>
            </w:pPr>
            <w:r>
              <w:rPr>
                <w:rFonts w:hint="eastAsia" w:ascii="宋体" w:hAnsi="宋体" w:eastAsia="宋体" w:cs="宋体"/>
                <w:sz w:val="24"/>
              </w:rPr>
              <w:t xml:space="preserve">       </w:t>
            </w:r>
          </w:p>
          <w:p>
            <w:pPr>
              <w:widowControl/>
              <w:ind w:left="3894" w:leftChars="-1860" w:hanging="7800" w:hangingChars="3250"/>
              <w:rPr>
                <w:rFonts w:hint="eastAsia" w:ascii="宋体" w:hAnsi="宋体" w:eastAsia="宋体" w:cs="宋体"/>
                <w:sz w:val="24"/>
              </w:rPr>
            </w:pPr>
          </w:p>
          <w:p>
            <w:pPr>
              <w:widowControl/>
              <w:ind w:left="3894" w:leftChars="-1860" w:hanging="7800" w:hangingChars="3250"/>
              <w:rPr>
                <w:rFonts w:hint="eastAsia" w:ascii="宋体" w:hAnsi="宋体" w:eastAsia="宋体" w:cs="宋体"/>
                <w:sz w:val="24"/>
              </w:rPr>
            </w:pPr>
          </w:p>
          <w:p>
            <w:pPr>
              <w:widowControl/>
              <w:ind w:left="3894" w:leftChars="-1860" w:hanging="7800" w:hangingChars="3250"/>
              <w:rPr>
                <w:rFonts w:hint="eastAsia" w:ascii="宋体" w:hAnsi="宋体" w:eastAsia="宋体" w:cs="宋体"/>
                <w:sz w:val="24"/>
              </w:rPr>
            </w:pPr>
          </w:p>
          <w:p>
            <w:pPr>
              <w:widowControl/>
              <w:ind w:left="3894" w:leftChars="-1860" w:hanging="7800" w:hangingChars="3250"/>
              <w:rPr>
                <w:rFonts w:hint="eastAsia" w:ascii="宋体" w:hAnsi="宋体" w:eastAsia="宋体" w:cs="宋体"/>
                <w:sz w:val="24"/>
              </w:rPr>
            </w:pPr>
          </w:p>
          <w:p>
            <w:pPr>
              <w:widowControl/>
              <w:ind w:left="3886" w:leftChars="-378" w:hanging="4680" w:hangingChars="1950"/>
              <w:rPr>
                <w:rFonts w:hint="eastAsia" w:ascii="宋体" w:hAnsi="宋体" w:eastAsia="宋体" w:cs="宋体"/>
                <w:sz w:val="24"/>
              </w:rPr>
            </w:pPr>
            <w:r>
              <w:rPr>
                <w:rFonts w:hint="eastAsia" w:ascii="宋体" w:hAnsi="宋体" w:eastAsia="宋体" w:cs="宋体"/>
                <w:sz w:val="24"/>
              </w:rPr>
              <w:t xml:space="preserve">等级： 等级：            评委签字：          年   月   日                                                  </w:t>
            </w:r>
          </w:p>
        </w:tc>
      </w:tr>
    </w:tbl>
    <w:p>
      <w:pPr>
        <w:pStyle w:val="3"/>
        <w:spacing w:before="0" w:beforeAutospacing="0" w:after="0" w:afterAutospacing="0" w:line="440" w:lineRule="exact"/>
      </w:pPr>
    </w:p>
    <w:p>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情境启动下生态运动游戏对幼儿亲社会行为的影响</w:t>
      </w:r>
    </w:p>
    <w:p>
      <w:pPr>
        <w:spacing w:line="360" w:lineRule="auto"/>
        <w:ind w:firstLine="480" w:firstLineChars="200"/>
        <w:jc w:val="center"/>
        <w:rPr>
          <w:rFonts w:ascii="楷体" w:hAnsi="楷体" w:eastAsia="楷体"/>
          <w:sz w:val="24"/>
          <w:szCs w:val="24"/>
        </w:rPr>
      </w:pPr>
      <w:r>
        <w:rPr>
          <w:rFonts w:hint="eastAsia" w:ascii="楷体" w:hAnsi="楷体" w:eastAsia="楷体"/>
          <w:sz w:val="24"/>
          <w:szCs w:val="24"/>
          <w:lang w:val="en-US" w:eastAsia="zh-CN"/>
        </w:rPr>
        <w:t>常州市天宁区</w:t>
      </w:r>
      <w:r>
        <w:rPr>
          <w:rFonts w:hint="eastAsia" w:ascii="楷体" w:hAnsi="楷体" w:eastAsia="楷体"/>
          <w:sz w:val="24"/>
          <w:szCs w:val="24"/>
        </w:rPr>
        <w:t xml:space="preserve">雕庄中心幼儿园 </w:t>
      </w:r>
      <w:r>
        <w:rPr>
          <w:rFonts w:ascii="楷体" w:hAnsi="楷体" w:eastAsia="楷体"/>
          <w:sz w:val="24"/>
          <w:szCs w:val="24"/>
        </w:rPr>
        <w:t xml:space="preserve"> </w:t>
      </w:r>
      <w:r>
        <w:rPr>
          <w:rFonts w:hint="eastAsia" w:ascii="楷体" w:hAnsi="楷体" w:eastAsia="楷体"/>
          <w:sz w:val="24"/>
          <w:szCs w:val="24"/>
        </w:rPr>
        <w:t>王珏</w:t>
      </w:r>
    </w:p>
    <w:p>
      <w:pPr>
        <w:spacing w:line="360" w:lineRule="auto"/>
        <w:ind w:firstLine="480" w:firstLineChars="200"/>
        <w:jc w:val="left"/>
        <w:rPr>
          <w:rFonts w:ascii="宋体" w:hAnsi="宋体" w:eastAsia="宋体"/>
          <w:sz w:val="24"/>
          <w:szCs w:val="24"/>
        </w:rPr>
      </w:pPr>
      <w:r>
        <w:rPr>
          <w:rFonts w:ascii="宋体" w:hAnsi="宋体" w:eastAsia="宋体"/>
          <w:sz w:val="24"/>
          <w:szCs w:val="24"/>
        </w:rPr>
        <w:t>【摘要】</w:t>
      </w:r>
      <w:r>
        <w:rPr>
          <w:rFonts w:hint="eastAsia" w:ascii="宋体" w:hAnsi="宋体" w:eastAsia="宋体"/>
          <w:sz w:val="24"/>
          <w:szCs w:val="24"/>
        </w:rPr>
        <w:t>亲社会行为是指人们在社会交往中对他人有益或对社会有积极影响的行为，包括谦让、帮助、合作，分享、安慰和捐赠等。《幼儿园教育指导纲要（试行）》中，对幼儿培养的社会目标中规定</w:t>
      </w:r>
      <w:r>
        <w:rPr>
          <w:rFonts w:ascii="宋体" w:hAnsi="宋体" w:eastAsia="宋体"/>
          <w:sz w:val="24"/>
          <w:szCs w:val="24"/>
        </w:rPr>
        <w:t>“乐意与人交往，学习互助、合作和分享，有同情心”。</w:t>
      </w:r>
      <w:r>
        <w:rPr>
          <w:rFonts w:hint="eastAsia" w:ascii="宋体" w:hAnsi="宋体" w:eastAsia="宋体"/>
          <w:sz w:val="24"/>
          <w:szCs w:val="24"/>
        </w:rPr>
        <w:t>由此可以看出亲社会行为主要是利他性行为，是对道德要</w:t>
      </w:r>
      <w:bookmarkStart w:id="0" w:name="_GoBack"/>
      <w:bookmarkEnd w:id="0"/>
      <w:r>
        <w:rPr>
          <w:rFonts w:hint="eastAsia" w:ascii="宋体" w:hAnsi="宋体" w:eastAsia="宋体"/>
          <w:sz w:val="24"/>
          <w:szCs w:val="24"/>
        </w:rPr>
        <w:t>求比较高的一种行为模式，然而在当今分工日益精细的社会，一个人要适应社会，要谋求发展，必须建立良好的人际关系，合作关系。所以如何在幼儿生理和心理发展水平都不高的情况下，培养其亲社会行为成了家长与幼儿园教师共同关注的问题。</w:t>
      </w:r>
    </w:p>
    <w:p>
      <w:pPr>
        <w:spacing w:line="360" w:lineRule="auto"/>
        <w:ind w:firstLine="480" w:firstLineChars="200"/>
        <w:jc w:val="left"/>
        <w:rPr>
          <w:rFonts w:ascii="宋体" w:hAnsi="宋体" w:eastAsia="宋体"/>
          <w:sz w:val="24"/>
          <w:szCs w:val="24"/>
        </w:rPr>
      </w:pPr>
      <w:r>
        <w:rPr>
          <w:rFonts w:ascii="宋体" w:hAnsi="宋体" w:eastAsia="宋体"/>
          <w:sz w:val="24"/>
          <w:szCs w:val="24"/>
        </w:rPr>
        <w:t>【关键词】</w:t>
      </w:r>
      <w:r>
        <w:rPr>
          <w:rFonts w:hint="eastAsia" w:ascii="宋体" w:hAnsi="宋体" w:eastAsia="宋体"/>
          <w:sz w:val="24"/>
          <w:szCs w:val="24"/>
        </w:rPr>
        <w:t xml:space="preserve">情境 </w:t>
      </w:r>
      <w:r>
        <w:rPr>
          <w:rFonts w:ascii="宋体" w:hAnsi="宋体" w:eastAsia="宋体"/>
          <w:sz w:val="24"/>
          <w:szCs w:val="24"/>
        </w:rPr>
        <w:t xml:space="preserve"> </w:t>
      </w:r>
      <w:r>
        <w:rPr>
          <w:rFonts w:hint="eastAsia" w:ascii="宋体" w:hAnsi="宋体" w:eastAsia="宋体"/>
          <w:sz w:val="24"/>
          <w:szCs w:val="24"/>
        </w:rPr>
        <w:t xml:space="preserve">生态运动  亲社会行为 </w:t>
      </w:r>
    </w:p>
    <w:p>
      <w:pPr>
        <w:spacing w:line="360" w:lineRule="auto"/>
        <w:ind w:firstLine="480" w:firstLineChars="200"/>
        <w:jc w:val="left"/>
        <w:rPr>
          <w:rFonts w:ascii="宋体" w:hAnsi="宋体" w:eastAsia="宋体"/>
          <w:sz w:val="24"/>
          <w:szCs w:val="24"/>
        </w:rPr>
      </w:pPr>
      <w:r>
        <w:rPr>
          <w:rFonts w:ascii="宋体" w:hAnsi="宋体" w:eastAsia="宋体"/>
          <w:sz w:val="24"/>
          <w:szCs w:val="24"/>
        </w:rPr>
        <w:t>在我国，随着独生子女的增多，社会生活环境</w:t>
      </w:r>
      <w:r>
        <w:rPr>
          <w:rFonts w:hint="eastAsia" w:ascii="宋体" w:hAnsi="宋体" w:eastAsia="宋体"/>
          <w:sz w:val="24"/>
          <w:szCs w:val="24"/>
        </w:rPr>
        <w:t>的</w:t>
      </w:r>
      <w:r>
        <w:rPr>
          <w:rFonts w:ascii="宋体" w:hAnsi="宋体" w:eastAsia="宋体"/>
          <w:sz w:val="24"/>
          <w:szCs w:val="24"/>
        </w:rPr>
        <w:t>变化，</w:t>
      </w:r>
      <w:r>
        <w:rPr>
          <w:rFonts w:hint="eastAsia" w:ascii="宋体" w:hAnsi="宋体" w:eastAsia="宋体"/>
          <w:sz w:val="24"/>
          <w:szCs w:val="24"/>
        </w:rPr>
        <w:t>幼儿</w:t>
      </w:r>
      <w:r>
        <w:rPr>
          <w:rFonts w:ascii="宋体" w:hAnsi="宋体" w:eastAsia="宋体"/>
          <w:sz w:val="24"/>
          <w:szCs w:val="24"/>
        </w:rPr>
        <w:t>更多的是以自我为中心，站在自己的立场上去看问题。因此</w:t>
      </w:r>
      <w:r>
        <w:rPr>
          <w:rFonts w:hint="eastAsia" w:ascii="宋体" w:hAnsi="宋体" w:eastAsia="宋体"/>
          <w:sz w:val="24"/>
          <w:szCs w:val="24"/>
        </w:rPr>
        <w:t>，</w:t>
      </w:r>
      <w:r>
        <w:rPr>
          <w:rFonts w:ascii="宋体" w:hAnsi="宋体" w:eastAsia="宋体"/>
          <w:sz w:val="24"/>
          <w:szCs w:val="24"/>
        </w:rPr>
        <w:t>在这种社会背景下，培养</w:t>
      </w:r>
      <w:r>
        <w:rPr>
          <w:rFonts w:hint="eastAsia" w:ascii="宋体" w:hAnsi="宋体" w:eastAsia="宋体"/>
          <w:sz w:val="24"/>
          <w:szCs w:val="24"/>
        </w:rPr>
        <w:t>幼儿亲社会</w:t>
      </w:r>
      <w:r>
        <w:rPr>
          <w:rFonts w:ascii="宋体" w:hAnsi="宋体" w:eastAsia="宋体"/>
          <w:sz w:val="24"/>
          <w:szCs w:val="24"/>
        </w:rPr>
        <w:t>行为就显得越来越有必要。</w:t>
      </w:r>
      <w:r>
        <w:rPr>
          <w:rFonts w:hint="eastAsia" w:ascii="宋体" w:hAnsi="宋体" w:eastAsia="宋体"/>
          <w:sz w:val="24"/>
          <w:szCs w:val="24"/>
        </w:rPr>
        <w:t>亲社会行为的培养对幼儿良好品德的培养、幼儿社会化的形成、智力思维的发展和幼儿的身心发展等方面都有着很重要的作用。我园是生态运动特色园，结合我园特色在情境活动中去引导幼儿养成</w:t>
      </w:r>
      <w:r>
        <w:rPr>
          <w:rFonts w:ascii="宋体" w:hAnsi="宋体" w:eastAsia="宋体"/>
          <w:sz w:val="24"/>
          <w:szCs w:val="24"/>
        </w:rPr>
        <w:t>良好</w:t>
      </w:r>
      <w:r>
        <w:rPr>
          <w:rFonts w:hint="eastAsia" w:ascii="宋体" w:hAnsi="宋体" w:eastAsia="宋体"/>
          <w:sz w:val="24"/>
          <w:szCs w:val="24"/>
        </w:rPr>
        <w:t>亲社会行为。</w:t>
      </w:r>
    </w:p>
    <w:p>
      <w:pPr>
        <w:spacing w:line="360" w:lineRule="auto"/>
        <w:ind w:firstLine="480" w:firstLineChars="200"/>
        <w:jc w:val="left"/>
        <w:rPr>
          <w:rFonts w:ascii="宋体" w:hAnsi="宋体" w:eastAsia="宋体"/>
          <w:sz w:val="24"/>
          <w:szCs w:val="24"/>
        </w:rPr>
      </w:pPr>
      <w:r>
        <w:rPr>
          <w:rFonts w:ascii="宋体" w:hAnsi="宋体" w:eastAsia="宋体"/>
          <w:sz w:val="24"/>
          <w:szCs w:val="24"/>
        </w:rPr>
        <w:t>鉴于此，本文将从</w:t>
      </w:r>
      <w:r>
        <w:rPr>
          <w:rFonts w:hint="eastAsia" w:ascii="宋体" w:hAnsi="宋体" w:eastAsia="宋体"/>
          <w:sz w:val="24"/>
          <w:szCs w:val="24"/>
        </w:rPr>
        <w:t>以下三个</w:t>
      </w:r>
      <w:r>
        <w:rPr>
          <w:rFonts w:ascii="宋体" w:hAnsi="宋体" w:eastAsia="宋体"/>
          <w:sz w:val="24"/>
          <w:szCs w:val="24"/>
        </w:rPr>
        <w:t>方面来谈谈</w:t>
      </w:r>
      <w:r>
        <w:rPr>
          <w:rFonts w:hint="eastAsia" w:ascii="宋体" w:hAnsi="宋体" w:eastAsia="宋体"/>
          <w:sz w:val="24"/>
          <w:szCs w:val="24"/>
        </w:rPr>
        <w:t>情境启动下生态运动游戏对幼儿亲社会行为的影响。</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一</w:t>
      </w:r>
      <w:r>
        <w:rPr>
          <w:rFonts w:ascii="宋体" w:hAnsi="宋体" w:eastAsia="宋体"/>
          <w:sz w:val="24"/>
          <w:szCs w:val="24"/>
        </w:rPr>
        <w:t>、</w:t>
      </w:r>
      <w:r>
        <w:rPr>
          <w:rFonts w:hint="eastAsia" w:ascii="宋体" w:hAnsi="宋体" w:eastAsia="宋体"/>
          <w:sz w:val="24"/>
          <w:szCs w:val="24"/>
        </w:rPr>
        <w:t>立足生活，</w:t>
      </w:r>
      <w:r>
        <w:rPr>
          <w:rFonts w:ascii="宋体" w:hAnsi="宋体" w:eastAsia="宋体"/>
          <w:sz w:val="24"/>
          <w:szCs w:val="24"/>
        </w:rPr>
        <w:t xml:space="preserve">创设情境 </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教师结合幼儿的生活实际，立足于幼儿现有的生活经验，为幼儿创设一些贴近他们生活实际的户外情境游戏。这样不仅有利于增加生态运动游戏的丰富性，同时也有利于促使幼儿积极融入生活化的生态运动游戏中来，并让他们在这一生活化的情境游戏氛围中积极参与，积极合作。</w:t>
      </w:r>
      <w:r>
        <w:rPr>
          <w:rFonts w:ascii="宋体" w:hAnsi="宋体" w:eastAsia="宋体"/>
          <w:sz w:val="24"/>
          <w:szCs w:val="24"/>
        </w:rPr>
        <w:t xml:space="preserve"> </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例如：</w:t>
      </w:r>
      <w:r>
        <w:rPr>
          <w:rFonts w:ascii="宋体" w:hAnsi="宋体" w:eastAsia="宋体"/>
          <w:sz w:val="24"/>
          <w:szCs w:val="24"/>
        </w:rPr>
        <w:t>在</w:t>
      </w:r>
      <w:r>
        <w:rPr>
          <w:rFonts w:hint="eastAsia" w:ascii="宋体" w:hAnsi="宋体" w:eastAsia="宋体"/>
          <w:sz w:val="24"/>
          <w:szCs w:val="24"/>
        </w:rPr>
        <w:t>生态运动游戏</w:t>
      </w:r>
      <w:r>
        <w:rPr>
          <w:rFonts w:ascii="宋体" w:hAnsi="宋体" w:eastAsia="宋体"/>
          <w:sz w:val="24"/>
          <w:szCs w:val="24"/>
        </w:rPr>
        <w:t>《</w:t>
      </w:r>
      <w:r>
        <w:rPr>
          <w:rFonts w:hint="eastAsia" w:ascii="宋体" w:hAnsi="宋体" w:eastAsia="宋体"/>
          <w:sz w:val="24"/>
          <w:szCs w:val="24"/>
        </w:rPr>
        <w:t>骑行乐</w:t>
      </w:r>
      <w:r>
        <w:rPr>
          <w:rFonts w:ascii="宋体" w:hAnsi="宋体" w:eastAsia="宋体"/>
          <w:sz w:val="24"/>
          <w:szCs w:val="24"/>
        </w:rPr>
        <w:t>》中，借助</w:t>
      </w:r>
      <w:r>
        <w:rPr>
          <w:rFonts w:hint="eastAsia" w:ascii="宋体" w:hAnsi="宋体" w:eastAsia="宋体"/>
          <w:sz w:val="24"/>
          <w:szCs w:val="24"/>
        </w:rPr>
        <w:t>的马路情境，交警、骑手等角色自然的形成，不同的角色都要各司其职，如：司机要遵从交警的指挥以及遵守基本的交通规则，而售票员则需要保持热情的服务态度。幼儿结合已有的交通知识经验，一场有趣的骑行活动开始了。游戏活动不仅丰富他们对交通规则的理解和认识，同时也有利于培养他们养成遵守交通秩序的意识，情境游戏中幼儿的合作能力也得到了发展。</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游戏是幼儿融入社会，产生亲社会行为的主要渠道。游戏对于幼儿的社会行为的发展，具有极大的推动作用。游戏为幼儿的成长创设了丰富的情境，让他们体验到现实生活中在他们的年纪不一定会发生的事情，这就为教师开展幼儿亲社会教育提供了机会。基于此，教师创设多样的游戏情境，积极引导幼儿开展各种各样的游戏，培养幼儿的亲社会行为。</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二</w:t>
      </w:r>
      <w:r>
        <w:rPr>
          <w:rFonts w:ascii="宋体" w:hAnsi="宋体" w:eastAsia="宋体"/>
          <w:sz w:val="24"/>
          <w:szCs w:val="24"/>
        </w:rPr>
        <w:t>、</w:t>
      </w:r>
      <w:r>
        <w:rPr>
          <w:rFonts w:hint="eastAsia" w:ascii="宋体" w:hAnsi="宋体" w:eastAsia="宋体"/>
          <w:sz w:val="24"/>
          <w:szCs w:val="24"/>
        </w:rPr>
        <w:t>基于材料，</w:t>
      </w:r>
      <w:r>
        <w:rPr>
          <w:rFonts w:ascii="宋体" w:hAnsi="宋体" w:eastAsia="宋体"/>
          <w:sz w:val="24"/>
          <w:szCs w:val="24"/>
        </w:rPr>
        <w:t xml:space="preserve">创设情境 </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游戏的材料、材料的多少甚至材料的种类，都会或多或少的影响幼儿的交往行为和交往方式，并且对亲社会行为的发展产生不可估量的影响。《</w:t>
      </w:r>
      <w:r>
        <w:rPr>
          <w:rFonts w:ascii="宋体" w:hAnsi="宋体" w:eastAsia="宋体"/>
          <w:sz w:val="24"/>
          <w:szCs w:val="24"/>
        </w:rPr>
        <w:t>3-6 岁儿童学习与发展指南》中明确指出：“幼儿游戏需要</w:t>
      </w:r>
      <w:r>
        <w:rPr>
          <w:rFonts w:hint="eastAsia" w:ascii="宋体" w:hAnsi="宋体" w:eastAsia="宋体"/>
          <w:sz w:val="24"/>
          <w:szCs w:val="24"/>
        </w:rPr>
        <w:t>在一定的空间之内展开，教师在教学中应当注重教学资源和教学空间的开发。”每个幼儿的年龄、认知能力、学习兴趣都会存在很大的差异，这就决定了不同幼儿对游戏环境和操作材料的要求是不同的，这就要求幼师在教学中要着重观察幼儿之间存在的差异性。在开展生态运动游戏时，教师可以结合幼儿的年龄特征，抓住幼儿的兴趣点，选择能够激发幼儿学习兴趣的户外游戏活动器材，力求可“活”用各种各样的户外器材或材料，避免使其沦为摆设。</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例如：小班幼儿对声音的比较敏感，在组织幼儿开展生态运动游戏时可以为幼儿提供一些能够发出声响的游戏材料，帮助幼儿创设“森林音乐会”的游戏情境，让他们结合自己的兴趣去探索声音，可以在塑料瓶中装小石子等物品，让它们发出声音，可以提高幼儿参与生态运动游戏的兴趣。基于户外情境游戏来激发幼儿参与游戏活动的兴趣，更有利于提升户外情境游戏的质量活动的多样化需求。</w:t>
      </w:r>
    </w:p>
    <w:p>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教师要注重游戏时材料的投放量，维持材料数量和种类与幼儿的人数的平衡。例如，小班上学期的幼儿刚刚进入集体生活，教师引导幼儿开展模仿和平行游戏。到后期教师可以在材料投放上逐渐进行调整，准备的材料数量可以少于幼儿人数，这样能够促进幼儿进行分享、合作、谦让、互助等亲社会行为的产生。</w:t>
      </w:r>
    </w:p>
    <w:p>
      <w:pPr>
        <w:spacing w:line="360" w:lineRule="auto"/>
        <w:ind w:firstLine="480" w:firstLineChars="200"/>
        <w:jc w:val="left"/>
        <w:rPr>
          <w:rFonts w:ascii="宋体" w:hAnsi="宋体" w:eastAsia="宋体"/>
          <w:sz w:val="24"/>
          <w:szCs w:val="24"/>
        </w:rPr>
      </w:pPr>
      <w:r>
        <w:rPr>
          <w:rFonts w:ascii="宋体" w:hAnsi="宋体" w:eastAsia="宋体"/>
          <w:sz w:val="24"/>
          <w:szCs w:val="24"/>
        </w:rPr>
        <w:t xml:space="preserve">三、挖掘资源，创设情境 </w:t>
      </w:r>
    </w:p>
    <w:p>
      <w:pPr>
        <w:spacing w:line="360" w:lineRule="auto"/>
        <w:ind w:firstLine="480" w:firstLineChars="200"/>
        <w:jc w:val="left"/>
        <w:rPr>
          <w:rFonts w:ascii="宋体" w:hAnsi="宋体" w:eastAsia="宋体"/>
          <w:sz w:val="24"/>
          <w:szCs w:val="24"/>
        </w:rPr>
      </w:pPr>
      <w:r>
        <w:rPr>
          <w:rFonts w:ascii="宋体" w:hAnsi="宋体" w:eastAsia="宋体"/>
          <w:sz w:val="24"/>
          <w:szCs w:val="24"/>
        </w:rPr>
        <w:t>为了进一步提升</w:t>
      </w:r>
      <w:r>
        <w:rPr>
          <w:rFonts w:hint="eastAsia" w:ascii="宋体" w:hAnsi="宋体" w:eastAsia="宋体"/>
          <w:sz w:val="24"/>
          <w:szCs w:val="24"/>
        </w:rPr>
        <w:t>生态运动</w:t>
      </w:r>
      <w:r>
        <w:rPr>
          <w:rFonts w:ascii="宋体" w:hAnsi="宋体" w:eastAsia="宋体"/>
          <w:sz w:val="24"/>
          <w:szCs w:val="24"/>
        </w:rPr>
        <w:t>游戏活动设计的质量，教师需要进一步深入挖掘和利用幼儿园户外活动中的场地、器材等资源，对不同的</w:t>
      </w:r>
      <w:r>
        <w:rPr>
          <w:rFonts w:hint="eastAsia" w:ascii="宋体" w:hAnsi="宋体" w:eastAsia="宋体"/>
          <w:sz w:val="24"/>
          <w:szCs w:val="24"/>
        </w:rPr>
        <w:t>生态运动</w:t>
      </w:r>
      <w:r>
        <w:rPr>
          <w:rFonts w:ascii="宋体" w:hAnsi="宋体" w:eastAsia="宋体"/>
          <w:sz w:val="24"/>
          <w:szCs w:val="24"/>
        </w:rPr>
        <w:t>游戏活动内容进行科学划分，确保可以满足幼儿多样化的</w:t>
      </w:r>
      <w:r>
        <w:rPr>
          <w:rFonts w:hint="eastAsia" w:ascii="宋体" w:hAnsi="宋体" w:eastAsia="宋体"/>
          <w:sz w:val="24"/>
          <w:szCs w:val="24"/>
        </w:rPr>
        <w:t>生态运动</w:t>
      </w:r>
      <w:r>
        <w:rPr>
          <w:rFonts w:ascii="宋体" w:hAnsi="宋体" w:eastAsia="宋体"/>
          <w:sz w:val="24"/>
          <w:szCs w:val="24"/>
        </w:rPr>
        <w:t>游戏活动需求。通过指导幼儿积极参与各式各样的游戏活动，有利于更好地让他们释放天性</w:t>
      </w:r>
      <w:r>
        <w:rPr>
          <w:rFonts w:hint="eastAsia" w:ascii="宋体" w:hAnsi="宋体" w:eastAsia="宋体"/>
          <w:sz w:val="24"/>
          <w:szCs w:val="24"/>
        </w:rPr>
        <w:t>，</w:t>
      </w:r>
      <w:r>
        <w:rPr>
          <w:rFonts w:ascii="宋体" w:hAnsi="宋体" w:eastAsia="宋体"/>
          <w:sz w:val="24"/>
          <w:szCs w:val="24"/>
        </w:rPr>
        <w:t xml:space="preserve">有效促进他们身体素质发展。 </w:t>
      </w:r>
    </w:p>
    <w:p>
      <w:pPr>
        <w:spacing w:line="360" w:lineRule="auto"/>
        <w:ind w:firstLine="480" w:firstLineChars="200"/>
        <w:jc w:val="left"/>
        <w:rPr>
          <w:rFonts w:hint="eastAsia" w:ascii="宋体" w:hAnsi="宋体" w:eastAsia="宋体"/>
          <w:sz w:val="24"/>
          <w:szCs w:val="24"/>
        </w:rPr>
      </w:pPr>
      <w:r>
        <w:rPr>
          <w:rFonts w:ascii="宋体" w:hAnsi="宋体" w:eastAsia="宋体"/>
          <w:sz w:val="24"/>
          <w:szCs w:val="24"/>
        </w:rPr>
        <w:t>可以有效地利用幼儿园中现有的自然环境，本着因地 制宜、科学规划的原则来划分</w:t>
      </w:r>
      <w:r>
        <w:rPr>
          <w:rFonts w:hint="eastAsia" w:ascii="宋体" w:hAnsi="宋体" w:eastAsia="宋体"/>
          <w:sz w:val="24"/>
          <w:szCs w:val="24"/>
        </w:rPr>
        <w:t>生态运动情境</w:t>
      </w:r>
      <w:r>
        <w:rPr>
          <w:rFonts w:ascii="宋体" w:hAnsi="宋体" w:eastAsia="宋体"/>
          <w:sz w:val="24"/>
          <w:szCs w:val="24"/>
        </w:rPr>
        <w:t>游戏区域，如可以借助平整证的塑胶场地、草地等，设计球类等</w:t>
      </w:r>
      <w:r>
        <w:rPr>
          <w:rFonts w:hint="eastAsia" w:ascii="宋体" w:hAnsi="宋体" w:eastAsia="宋体"/>
          <w:sz w:val="24"/>
          <w:szCs w:val="24"/>
        </w:rPr>
        <w:t>生态运动</w:t>
      </w:r>
      <w:r>
        <w:rPr>
          <w:rFonts w:ascii="宋体" w:hAnsi="宋体" w:eastAsia="宋体"/>
          <w:sz w:val="24"/>
          <w:szCs w:val="24"/>
        </w:rPr>
        <w:t>游戏活动内容；利用弯曲的水池和小路等</w:t>
      </w:r>
      <w:r>
        <w:rPr>
          <w:rFonts w:hint="eastAsia" w:ascii="宋体" w:hAnsi="宋体" w:eastAsia="宋体"/>
          <w:sz w:val="24"/>
          <w:szCs w:val="24"/>
        </w:rPr>
        <w:t>，</w:t>
      </w:r>
      <w:r>
        <w:rPr>
          <w:rFonts w:ascii="宋体" w:hAnsi="宋体" w:eastAsia="宋体"/>
          <w:sz w:val="24"/>
          <w:szCs w:val="24"/>
        </w:rPr>
        <w:t>组织幼儿开展</w:t>
      </w:r>
      <w:r>
        <w:rPr>
          <w:rFonts w:hint="eastAsia" w:ascii="宋体" w:hAnsi="宋体" w:eastAsia="宋体"/>
          <w:sz w:val="24"/>
          <w:szCs w:val="24"/>
        </w:rPr>
        <w:t>骑行游戏</w:t>
      </w:r>
      <w:r>
        <w:rPr>
          <w:rFonts w:ascii="宋体" w:hAnsi="宋体" w:eastAsia="宋体"/>
          <w:sz w:val="24"/>
          <w:szCs w:val="24"/>
        </w:rPr>
        <w:t>或</w:t>
      </w:r>
      <w:r>
        <w:rPr>
          <w:rFonts w:hint="eastAsia" w:ascii="宋体" w:hAnsi="宋体" w:eastAsia="宋体"/>
          <w:sz w:val="24"/>
          <w:szCs w:val="24"/>
        </w:rPr>
        <w:t>建构</w:t>
      </w:r>
      <w:r>
        <w:rPr>
          <w:rFonts w:ascii="宋体" w:hAnsi="宋体" w:eastAsia="宋体"/>
          <w:sz w:val="24"/>
          <w:szCs w:val="24"/>
        </w:rPr>
        <w:t>等情境游戏活动；在山坡上，可以组织幼儿开展折返跑竞赛小游戏。此外，还可以基于不同年纪的幼儿，为他们划分适宜他们参与情境游戏的区域，让他们可以在不同活动区域中参与自己感兴趣的活动，最终提升</w:t>
      </w:r>
      <w:r>
        <w:rPr>
          <w:rFonts w:hint="eastAsia" w:ascii="宋体" w:hAnsi="宋体" w:eastAsia="宋体"/>
          <w:sz w:val="24"/>
          <w:szCs w:val="24"/>
        </w:rPr>
        <w:t>生态运动</w:t>
      </w:r>
      <w:r>
        <w:rPr>
          <w:rFonts w:ascii="宋体" w:hAnsi="宋体" w:eastAsia="宋体"/>
          <w:sz w:val="24"/>
          <w:szCs w:val="24"/>
        </w:rPr>
        <w:t xml:space="preserve">游戏活动的开展质量。 </w:t>
      </w:r>
    </w:p>
    <w:p>
      <w:pPr>
        <w:spacing w:line="360" w:lineRule="auto"/>
        <w:ind w:firstLine="480" w:firstLineChars="200"/>
        <w:jc w:val="left"/>
        <w:rPr>
          <w:rFonts w:ascii="宋体" w:hAnsi="宋体" w:eastAsia="宋体"/>
          <w:sz w:val="24"/>
          <w:szCs w:val="24"/>
        </w:rPr>
      </w:pPr>
      <w:r>
        <w:rPr>
          <w:rFonts w:ascii="宋体" w:hAnsi="宋体" w:eastAsia="宋体"/>
          <w:sz w:val="24"/>
          <w:szCs w:val="24"/>
        </w:rPr>
        <w:t>情境游戏是一种可以激发幼儿参与游戏活动兴趣、提高他们动手实践能力的重要游戏方式。为了有效地提高情境游戏设计的质量，可以从立足幼儿生活经验、基于丰富户外器材和挖掘园区户外资源几个方面入手，科学地创设户外情境游戏，确保幼儿身心健康发展</w:t>
      </w:r>
      <w:r>
        <w:rPr>
          <w:rFonts w:hint="eastAsia" w:ascii="宋体" w:hAnsi="宋体" w:eastAsia="宋体"/>
          <w:sz w:val="24"/>
          <w:szCs w:val="24"/>
        </w:rPr>
        <w:t>。</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在情境启动下生态运动游戏的开展中，幼儿一方面在游戏中获得欢乐和成就感，使心理得到较大的满足，另一方面在游戏中无形地增强了人际交往的能力，学会了如何以正确的态度和方式与他人相处，发展了亲社会行为。教师要明确不同游戏的作用和价值，重视生态运动游戏对幼儿亲社会行为的影响。幼儿的亲社会行为的养成并不是一蹴而就的，情境下的生态运动游戏对儿童的影响都是潜移默化的。幼儿园教师应尊重幼儿身心发展规律，科学把握游戏情景参与性与幼儿亲社会行为的养成之间的关系，从而让孩子成功习得亲社会行为。</w:t>
      </w:r>
    </w:p>
    <w:p>
      <w:pPr>
        <w:spacing w:line="360" w:lineRule="auto"/>
        <w:ind w:firstLine="480" w:firstLineChars="200"/>
        <w:jc w:val="left"/>
        <w:rPr>
          <w:rFonts w:ascii="楷体" w:hAnsi="楷体" w:eastAsia="楷体"/>
          <w:sz w:val="24"/>
          <w:szCs w:val="24"/>
        </w:rPr>
      </w:pPr>
      <w:r>
        <w:rPr>
          <w:rFonts w:hint="eastAsia" w:ascii="楷体" w:hAnsi="楷体" w:eastAsia="楷体"/>
          <w:sz w:val="24"/>
          <w:szCs w:val="24"/>
        </w:rPr>
        <w:t>参考文献：</w:t>
      </w:r>
    </w:p>
    <w:p>
      <w:pPr>
        <w:spacing w:line="360" w:lineRule="auto"/>
        <w:ind w:firstLine="480" w:firstLineChars="200"/>
        <w:jc w:val="left"/>
        <w:rPr>
          <w:rFonts w:ascii="楷体" w:hAnsi="楷体" w:eastAsia="楷体"/>
          <w:sz w:val="24"/>
          <w:szCs w:val="24"/>
        </w:rPr>
      </w:pPr>
      <w:r>
        <w:rPr>
          <w:rFonts w:hint="eastAsia" w:ascii="楷体" w:hAnsi="楷体" w:eastAsia="楷体"/>
          <w:sz w:val="24"/>
          <w:szCs w:val="24"/>
        </w:rPr>
        <w:t>［</w:t>
      </w:r>
      <w:r>
        <w:rPr>
          <w:rFonts w:ascii="楷体" w:hAnsi="楷体" w:eastAsia="楷体"/>
          <w:sz w:val="24"/>
          <w:szCs w:val="24"/>
        </w:rPr>
        <w:t>1］兰晓芹．家庭教育与幼儿亲社会行为的</w:t>
      </w:r>
      <w:r>
        <w:rPr>
          <w:rFonts w:hint="eastAsia" w:ascii="楷体" w:hAnsi="楷体" w:eastAsia="楷体"/>
          <w:sz w:val="24"/>
          <w:szCs w:val="24"/>
        </w:rPr>
        <w:t>培养</w:t>
      </w:r>
      <w:r>
        <w:rPr>
          <w:rFonts w:ascii="楷体" w:hAnsi="楷体" w:eastAsia="楷体"/>
          <w:sz w:val="24"/>
          <w:szCs w:val="24"/>
        </w:rPr>
        <w:t>［J］．深圳教育学院学报，1999(2)：75～76．</w:t>
      </w:r>
    </w:p>
    <w:p>
      <w:pPr>
        <w:spacing w:line="360" w:lineRule="auto"/>
        <w:ind w:firstLine="480" w:firstLineChars="200"/>
        <w:jc w:val="left"/>
        <w:rPr>
          <w:rFonts w:ascii="楷体" w:hAnsi="楷体" w:eastAsia="楷体"/>
          <w:sz w:val="24"/>
          <w:szCs w:val="24"/>
        </w:rPr>
      </w:pPr>
      <w:r>
        <w:rPr>
          <w:rFonts w:hint="eastAsia" w:ascii="楷体" w:hAnsi="楷体" w:eastAsia="楷体"/>
          <w:sz w:val="24"/>
          <w:szCs w:val="24"/>
        </w:rPr>
        <w:t>［</w:t>
      </w:r>
      <w:r>
        <w:rPr>
          <w:rFonts w:ascii="楷体" w:hAnsi="楷体" w:eastAsia="楷体"/>
          <w:sz w:val="24"/>
          <w:szCs w:val="24"/>
        </w:rPr>
        <w:t>2］陈责娥．幼儿亲社会行为”教育方法初</w:t>
      </w:r>
      <w:r>
        <w:rPr>
          <w:rFonts w:hint="eastAsia" w:ascii="楷体" w:hAnsi="楷体" w:eastAsia="楷体"/>
          <w:sz w:val="24"/>
          <w:szCs w:val="24"/>
        </w:rPr>
        <w:t>探</w:t>
      </w:r>
      <w:r>
        <w:rPr>
          <w:rFonts w:ascii="楷体" w:hAnsi="楷体" w:eastAsia="楷体"/>
          <w:sz w:val="24"/>
          <w:szCs w:val="24"/>
        </w:rPr>
        <w:t>［J］．安阳师范学院学报</w:t>
      </w:r>
      <w:r>
        <w:rPr>
          <w:rFonts w:hint="eastAsia" w:ascii="楷体" w:hAnsi="楷体" w:eastAsia="楷体"/>
          <w:sz w:val="24"/>
          <w:szCs w:val="24"/>
        </w:rPr>
        <w:t>，</w:t>
      </w:r>
      <w:r>
        <w:rPr>
          <w:rFonts w:ascii="楷体" w:hAnsi="楷体" w:eastAsia="楷体"/>
          <w:sz w:val="24"/>
          <w:szCs w:val="24"/>
        </w:rPr>
        <w:t>2004(1)：7l一73．</w:t>
      </w:r>
    </w:p>
    <w:p>
      <w:pPr>
        <w:spacing w:line="360" w:lineRule="auto"/>
        <w:ind w:firstLine="480" w:firstLineChars="200"/>
        <w:jc w:val="left"/>
        <w:rPr>
          <w:rFonts w:ascii="楷体" w:hAnsi="楷体" w:eastAsia="楷体"/>
          <w:sz w:val="24"/>
          <w:szCs w:val="24"/>
        </w:rPr>
      </w:pPr>
      <w:r>
        <w:rPr>
          <w:rFonts w:hint="eastAsia" w:ascii="楷体" w:hAnsi="楷体" w:eastAsia="楷体"/>
          <w:sz w:val="24"/>
          <w:szCs w:val="24"/>
        </w:rPr>
        <w:t>［3</w:t>
      </w:r>
      <w:r>
        <w:rPr>
          <w:rFonts w:ascii="楷体" w:hAnsi="楷体" w:eastAsia="楷体"/>
          <w:sz w:val="24"/>
          <w:szCs w:val="24"/>
        </w:rPr>
        <w:t>］全海英.体育活动发展 3-6 岁幼儿亲社会行为的理论与实践研究［D］.辽宁师范大学，2012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xYjZlMmMxZGE4YWIzZDNmOWI1MzBhZWVmMzk2MWMifQ=="/>
  </w:docVars>
  <w:rsids>
    <w:rsidRoot w:val="00F0175F"/>
    <w:rsid w:val="00001376"/>
    <w:rsid w:val="00013F83"/>
    <w:rsid w:val="0002012D"/>
    <w:rsid w:val="00021A5D"/>
    <w:rsid w:val="00022115"/>
    <w:rsid w:val="00022836"/>
    <w:rsid w:val="000249EE"/>
    <w:rsid w:val="0004297E"/>
    <w:rsid w:val="0004534A"/>
    <w:rsid w:val="00075E89"/>
    <w:rsid w:val="00081933"/>
    <w:rsid w:val="000960D3"/>
    <w:rsid w:val="000960E7"/>
    <w:rsid w:val="000A28B5"/>
    <w:rsid w:val="000A3528"/>
    <w:rsid w:val="000A6FE2"/>
    <w:rsid w:val="000B0096"/>
    <w:rsid w:val="000C1B48"/>
    <w:rsid w:val="000D033D"/>
    <w:rsid w:val="000D22F4"/>
    <w:rsid w:val="000E0964"/>
    <w:rsid w:val="000E7BEB"/>
    <w:rsid w:val="000F3BA8"/>
    <w:rsid w:val="000F6331"/>
    <w:rsid w:val="000F70A1"/>
    <w:rsid w:val="001002EA"/>
    <w:rsid w:val="00104E3A"/>
    <w:rsid w:val="00105DF4"/>
    <w:rsid w:val="00112276"/>
    <w:rsid w:val="00113A59"/>
    <w:rsid w:val="00132077"/>
    <w:rsid w:val="00135936"/>
    <w:rsid w:val="00145ABF"/>
    <w:rsid w:val="00151BC5"/>
    <w:rsid w:val="0016096D"/>
    <w:rsid w:val="00167BB1"/>
    <w:rsid w:val="00182CA8"/>
    <w:rsid w:val="001A675E"/>
    <w:rsid w:val="001C5E45"/>
    <w:rsid w:val="001D711A"/>
    <w:rsid w:val="001E5AAA"/>
    <w:rsid w:val="002631B1"/>
    <w:rsid w:val="00263D16"/>
    <w:rsid w:val="00267E33"/>
    <w:rsid w:val="00276813"/>
    <w:rsid w:val="00295F35"/>
    <w:rsid w:val="00297907"/>
    <w:rsid w:val="002A5203"/>
    <w:rsid w:val="002A6917"/>
    <w:rsid w:val="002B63BB"/>
    <w:rsid w:val="002D6107"/>
    <w:rsid w:val="002D6AC3"/>
    <w:rsid w:val="002E020E"/>
    <w:rsid w:val="002F19E8"/>
    <w:rsid w:val="002F4AE7"/>
    <w:rsid w:val="002F5E5E"/>
    <w:rsid w:val="00300E8E"/>
    <w:rsid w:val="00312D24"/>
    <w:rsid w:val="003217FF"/>
    <w:rsid w:val="00342117"/>
    <w:rsid w:val="0035235C"/>
    <w:rsid w:val="00360E5E"/>
    <w:rsid w:val="00361331"/>
    <w:rsid w:val="0036560E"/>
    <w:rsid w:val="00371A67"/>
    <w:rsid w:val="003761C0"/>
    <w:rsid w:val="00377538"/>
    <w:rsid w:val="00381FC6"/>
    <w:rsid w:val="003941BC"/>
    <w:rsid w:val="00396E2E"/>
    <w:rsid w:val="00396E9B"/>
    <w:rsid w:val="003973D3"/>
    <w:rsid w:val="003A24CD"/>
    <w:rsid w:val="003A7A35"/>
    <w:rsid w:val="003B71D2"/>
    <w:rsid w:val="003D7B99"/>
    <w:rsid w:val="003E2778"/>
    <w:rsid w:val="003F40A3"/>
    <w:rsid w:val="003F4942"/>
    <w:rsid w:val="00406006"/>
    <w:rsid w:val="00454836"/>
    <w:rsid w:val="0045793A"/>
    <w:rsid w:val="00475493"/>
    <w:rsid w:val="004B3F7B"/>
    <w:rsid w:val="004C29BC"/>
    <w:rsid w:val="004C6B9B"/>
    <w:rsid w:val="004E270A"/>
    <w:rsid w:val="004F540E"/>
    <w:rsid w:val="00501BAD"/>
    <w:rsid w:val="00510E6E"/>
    <w:rsid w:val="00533663"/>
    <w:rsid w:val="005529F6"/>
    <w:rsid w:val="00556990"/>
    <w:rsid w:val="0056318F"/>
    <w:rsid w:val="00565BFD"/>
    <w:rsid w:val="00567CE8"/>
    <w:rsid w:val="00577D27"/>
    <w:rsid w:val="0059660A"/>
    <w:rsid w:val="005A040F"/>
    <w:rsid w:val="005A45D8"/>
    <w:rsid w:val="005D6A35"/>
    <w:rsid w:val="00603920"/>
    <w:rsid w:val="00617604"/>
    <w:rsid w:val="00617FDB"/>
    <w:rsid w:val="00653461"/>
    <w:rsid w:val="0066261C"/>
    <w:rsid w:val="00665C28"/>
    <w:rsid w:val="006672F1"/>
    <w:rsid w:val="00676C2D"/>
    <w:rsid w:val="00682030"/>
    <w:rsid w:val="00682041"/>
    <w:rsid w:val="0069208F"/>
    <w:rsid w:val="006A3EC7"/>
    <w:rsid w:val="006B3B5C"/>
    <w:rsid w:val="006C5625"/>
    <w:rsid w:val="006C622F"/>
    <w:rsid w:val="007153B8"/>
    <w:rsid w:val="00771FCC"/>
    <w:rsid w:val="007A1D70"/>
    <w:rsid w:val="007B48C4"/>
    <w:rsid w:val="007B7F00"/>
    <w:rsid w:val="007C5EA5"/>
    <w:rsid w:val="007D0206"/>
    <w:rsid w:val="007D7107"/>
    <w:rsid w:val="007D7741"/>
    <w:rsid w:val="00800090"/>
    <w:rsid w:val="008235FA"/>
    <w:rsid w:val="00824A58"/>
    <w:rsid w:val="00837201"/>
    <w:rsid w:val="00844C0F"/>
    <w:rsid w:val="00887D98"/>
    <w:rsid w:val="008A07A3"/>
    <w:rsid w:val="008A458D"/>
    <w:rsid w:val="008A54A1"/>
    <w:rsid w:val="008A62C0"/>
    <w:rsid w:val="008C34C8"/>
    <w:rsid w:val="008F682B"/>
    <w:rsid w:val="00932FCE"/>
    <w:rsid w:val="00932FE3"/>
    <w:rsid w:val="00934EA3"/>
    <w:rsid w:val="009372E2"/>
    <w:rsid w:val="00942E60"/>
    <w:rsid w:val="00944B6B"/>
    <w:rsid w:val="00960392"/>
    <w:rsid w:val="00961DAA"/>
    <w:rsid w:val="009635BB"/>
    <w:rsid w:val="009751AB"/>
    <w:rsid w:val="0097757E"/>
    <w:rsid w:val="009871CB"/>
    <w:rsid w:val="00990AC6"/>
    <w:rsid w:val="009A5B6D"/>
    <w:rsid w:val="009B0E32"/>
    <w:rsid w:val="009B6C5A"/>
    <w:rsid w:val="009C1585"/>
    <w:rsid w:val="009D64CA"/>
    <w:rsid w:val="009E1B9F"/>
    <w:rsid w:val="009E47AE"/>
    <w:rsid w:val="009F3114"/>
    <w:rsid w:val="009F4C7D"/>
    <w:rsid w:val="00A0259B"/>
    <w:rsid w:val="00A04273"/>
    <w:rsid w:val="00A05AC9"/>
    <w:rsid w:val="00A05CD6"/>
    <w:rsid w:val="00A24788"/>
    <w:rsid w:val="00A24891"/>
    <w:rsid w:val="00A26441"/>
    <w:rsid w:val="00A4058E"/>
    <w:rsid w:val="00A46B34"/>
    <w:rsid w:val="00A867B2"/>
    <w:rsid w:val="00AB42FA"/>
    <w:rsid w:val="00AC5CD9"/>
    <w:rsid w:val="00AC62D4"/>
    <w:rsid w:val="00AD0322"/>
    <w:rsid w:val="00AD0C56"/>
    <w:rsid w:val="00AF500B"/>
    <w:rsid w:val="00B01758"/>
    <w:rsid w:val="00B0784C"/>
    <w:rsid w:val="00B0793F"/>
    <w:rsid w:val="00B1525C"/>
    <w:rsid w:val="00B326E8"/>
    <w:rsid w:val="00B536F5"/>
    <w:rsid w:val="00B76D41"/>
    <w:rsid w:val="00B85333"/>
    <w:rsid w:val="00BA301C"/>
    <w:rsid w:val="00BA66EB"/>
    <w:rsid w:val="00BC295F"/>
    <w:rsid w:val="00BC2D12"/>
    <w:rsid w:val="00BC3939"/>
    <w:rsid w:val="00BD0B2D"/>
    <w:rsid w:val="00BF68BE"/>
    <w:rsid w:val="00BF7B9D"/>
    <w:rsid w:val="00C059CD"/>
    <w:rsid w:val="00C15B1D"/>
    <w:rsid w:val="00C2216A"/>
    <w:rsid w:val="00C22E4C"/>
    <w:rsid w:val="00C26E52"/>
    <w:rsid w:val="00C347AA"/>
    <w:rsid w:val="00C554F2"/>
    <w:rsid w:val="00C60DD6"/>
    <w:rsid w:val="00C652D5"/>
    <w:rsid w:val="00C77C7C"/>
    <w:rsid w:val="00C8391C"/>
    <w:rsid w:val="00C85762"/>
    <w:rsid w:val="00C86A0D"/>
    <w:rsid w:val="00C973E8"/>
    <w:rsid w:val="00CB2306"/>
    <w:rsid w:val="00CC21AF"/>
    <w:rsid w:val="00CE229D"/>
    <w:rsid w:val="00CE30F9"/>
    <w:rsid w:val="00CF4568"/>
    <w:rsid w:val="00D107C3"/>
    <w:rsid w:val="00D10EF7"/>
    <w:rsid w:val="00D141E7"/>
    <w:rsid w:val="00D152C1"/>
    <w:rsid w:val="00D154A4"/>
    <w:rsid w:val="00D22C2C"/>
    <w:rsid w:val="00D26A98"/>
    <w:rsid w:val="00D313C6"/>
    <w:rsid w:val="00D34877"/>
    <w:rsid w:val="00D4466E"/>
    <w:rsid w:val="00D51915"/>
    <w:rsid w:val="00D75961"/>
    <w:rsid w:val="00D77C97"/>
    <w:rsid w:val="00D87850"/>
    <w:rsid w:val="00D971C5"/>
    <w:rsid w:val="00DD5AE2"/>
    <w:rsid w:val="00DF7C32"/>
    <w:rsid w:val="00E11C18"/>
    <w:rsid w:val="00E46995"/>
    <w:rsid w:val="00E5270E"/>
    <w:rsid w:val="00E532B9"/>
    <w:rsid w:val="00E53FCD"/>
    <w:rsid w:val="00E60829"/>
    <w:rsid w:val="00E64A98"/>
    <w:rsid w:val="00E657C3"/>
    <w:rsid w:val="00E9550A"/>
    <w:rsid w:val="00EA0F8A"/>
    <w:rsid w:val="00EC4490"/>
    <w:rsid w:val="00EC5999"/>
    <w:rsid w:val="00EC7A05"/>
    <w:rsid w:val="00F0175F"/>
    <w:rsid w:val="00F60DDD"/>
    <w:rsid w:val="00F658C9"/>
    <w:rsid w:val="00F7261C"/>
    <w:rsid w:val="00F76A11"/>
    <w:rsid w:val="00F77904"/>
    <w:rsid w:val="00F80DEB"/>
    <w:rsid w:val="00F819B2"/>
    <w:rsid w:val="00F94913"/>
    <w:rsid w:val="00FA2B4E"/>
    <w:rsid w:val="00FA70D4"/>
    <w:rsid w:val="00FB45F0"/>
    <w:rsid w:val="10F32CB1"/>
    <w:rsid w:val="69A93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styleId="6">
    <w:name w:val="page number"/>
    <w:basedOn w:val="5"/>
    <w:qFormat/>
    <w:uiPriority w:val="0"/>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2445</Words>
  <Characters>2468</Characters>
  <Lines>17</Lines>
  <Paragraphs>4</Paragraphs>
  <TotalTime>0</TotalTime>
  <ScaleCrop>false</ScaleCrop>
  <LinksUpToDate>false</LinksUpToDate>
  <CharactersWithSpaces>2485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2021-11-11T14:00:00Z</dcterms:created>
  <dc:creator> </dc:creator>
  <cp:lastModifiedBy>橘子</cp:lastModifiedBy>
  <dcterms:modified xsi:type="dcterms:W3CDTF">2022-05-16T05:36:29Z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FDC70072A286413D93A240EEF10B54FE</vt:lpwstr>
  </property>
</Properties>
</file>