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32"/>
        </w:rPr>
      </w:pPr>
      <w:r>
        <w:rPr>
          <w:rFonts w:hint="eastAsia" w:ascii="仿宋_GB2312" w:eastAsia="仿宋_GB2312"/>
          <w:szCs w:val="21"/>
          <w:u w:val="single"/>
        </w:rPr>
        <w:t xml:space="preserve">户外开放性表演游戏的实践研究      </w:t>
      </w:r>
      <w:r>
        <w:rPr>
          <w:rFonts w:hint="eastAsia" w:ascii="仿宋_GB2312" w:eastAsia="仿宋_GB2312"/>
          <w:sz w:val="32"/>
        </w:rPr>
        <w:t>课题研究活动情况登记表</w:t>
      </w:r>
    </w:p>
    <w:p>
      <w:pPr>
        <w:jc w:val="center"/>
        <w:rPr>
          <w:rFonts w:ascii="仿宋_GB2312" w:eastAsiaTheme="minorEastAsia"/>
          <w:sz w:val="1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1453"/>
        <w:gridCol w:w="1453"/>
        <w:gridCol w:w="1454"/>
        <w:gridCol w:w="1454"/>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vAlign w:val="center"/>
          </w:tcPr>
          <w:p>
            <w:pPr>
              <w:jc w:val="center"/>
              <w:rPr>
                <w:rFonts w:ascii="仿宋_GB2312" w:eastAsia="仿宋_GB2312"/>
              </w:rPr>
            </w:pPr>
            <w:r>
              <w:rPr>
                <w:rFonts w:hint="eastAsia" w:ascii="仿宋_GB2312" w:eastAsia="仿宋_GB2312"/>
              </w:rPr>
              <w:t>时间</w:t>
            </w:r>
          </w:p>
        </w:tc>
        <w:tc>
          <w:tcPr>
            <w:tcW w:w="1453" w:type="dxa"/>
            <w:vAlign w:val="center"/>
          </w:tcPr>
          <w:p>
            <w:pPr>
              <w:jc w:val="center"/>
              <w:rPr>
                <w:rFonts w:ascii="仿宋_GB2312" w:eastAsiaTheme="minorEastAsia"/>
              </w:rPr>
            </w:pPr>
            <w:r>
              <w:rPr>
                <w:rFonts w:hint="eastAsia" w:ascii="仿宋_GB2312" w:eastAsiaTheme="minorEastAsia"/>
              </w:rPr>
              <w:t>2024.3.4</w:t>
            </w:r>
          </w:p>
        </w:tc>
        <w:tc>
          <w:tcPr>
            <w:tcW w:w="1453" w:type="dxa"/>
            <w:vAlign w:val="center"/>
          </w:tcPr>
          <w:p>
            <w:pPr>
              <w:jc w:val="center"/>
              <w:rPr>
                <w:rFonts w:ascii="仿宋_GB2312" w:eastAsia="仿宋_GB2312"/>
              </w:rPr>
            </w:pPr>
            <w:r>
              <w:rPr>
                <w:rFonts w:hint="eastAsia" w:ascii="仿宋_GB2312" w:eastAsia="仿宋_GB2312"/>
              </w:rPr>
              <w:t>地点</w:t>
            </w:r>
          </w:p>
        </w:tc>
        <w:tc>
          <w:tcPr>
            <w:tcW w:w="1454" w:type="dxa"/>
            <w:vAlign w:val="center"/>
          </w:tcPr>
          <w:p>
            <w:pPr>
              <w:jc w:val="center"/>
              <w:rPr>
                <w:rFonts w:ascii="仿宋_GB2312" w:eastAsiaTheme="minorEastAsia"/>
              </w:rPr>
            </w:pPr>
            <w:r>
              <w:rPr>
                <w:rFonts w:hint="eastAsia" w:ascii="仿宋_GB2312" w:eastAsiaTheme="minorEastAsia"/>
              </w:rPr>
              <w:t>二楼会议室</w:t>
            </w:r>
          </w:p>
        </w:tc>
        <w:tc>
          <w:tcPr>
            <w:tcW w:w="1454" w:type="dxa"/>
            <w:vAlign w:val="center"/>
          </w:tcPr>
          <w:p>
            <w:pPr>
              <w:jc w:val="center"/>
              <w:rPr>
                <w:rFonts w:ascii="仿宋_GB2312" w:eastAsia="仿宋_GB2312"/>
              </w:rPr>
            </w:pPr>
            <w:r>
              <w:rPr>
                <w:rFonts w:hint="eastAsia" w:ascii="仿宋_GB2312" w:eastAsia="仿宋_GB2312"/>
              </w:rPr>
              <w:t>参加对象</w:t>
            </w:r>
          </w:p>
        </w:tc>
        <w:tc>
          <w:tcPr>
            <w:tcW w:w="1454" w:type="dxa"/>
          </w:tcPr>
          <w:p>
            <w:pPr>
              <w:jc w:val="center"/>
              <w:rPr>
                <w:rFonts w:ascii="仿宋_GB2312" w:eastAsiaTheme="minorEastAsia"/>
                <w:sz w:val="18"/>
              </w:rPr>
            </w:pPr>
            <w:r>
              <w:rPr>
                <w:rFonts w:hint="eastAsia" w:ascii="仿宋_GB2312" w:eastAsiaTheme="minorEastAsia"/>
                <w:sz w:val="18"/>
              </w:rPr>
              <w:t>表演课题组全体成员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vAlign w:val="center"/>
          </w:tcPr>
          <w:p>
            <w:pPr>
              <w:adjustRightInd w:val="0"/>
              <w:snapToGrid w:val="0"/>
              <w:jc w:val="center"/>
              <w:rPr>
                <w:rFonts w:ascii="仿宋_GB2312" w:eastAsia="仿宋_GB2312"/>
              </w:rPr>
            </w:pPr>
            <w:r>
              <w:rPr>
                <w:rFonts w:hint="eastAsia" w:ascii="仿宋_GB2312" w:eastAsia="仿宋_GB2312"/>
              </w:rPr>
              <w:t>主持人</w:t>
            </w:r>
          </w:p>
        </w:tc>
        <w:tc>
          <w:tcPr>
            <w:tcW w:w="1453" w:type="dxa"/>
            <w:vAlign w:val="center"/>
          </w:tcPr>
          <w:p>
            <w:pPr>
              <w:adjustRightInd w:val="0"/>
              <w:snapToGrid w:val="0"/>
              <w:jc w:val="center"/>
              <w:rPr>
                <w:rFonts w:ascii="仿宋_GB2312" w:eastAsiaTheme="minorEastAsia"/>
              </w:rPr>
            </w:pPr>
            <w:r>
              <w:rPr>
                <w:rFonts w:hint="eastAsia" w:ascii="仿宋_GB2312" w:eastAsiaTheme="minorEastAsia"/>
              </w:rPr>
              <w:t>居海燕</w:t>
            </w:r>
          </w:p>
        </w:tc>
        <w:tc>
          <w:tcPr>
            <w:tcW w:w="1453" w:type="dxa"/>
            <w:vAlign w:val="center"/>
          </w:tcPr>
          <w:p>
            <w:pPr>
              <w:adjustRightInd w:val="0"/>
              <w:snapToGrid w:val="0"/>
              <w:jc w:val="center"/>
              <w:rPr>
                <w:rFonts w:ascii="仿宋_GB2312" w:eastAsia="仿宋_GB2312"/>
              </w:rPr>
            </w:pPr>
            <w:r>
              <w:rPr>
                <w:rFonts w:hint="eastAsia" w:ascii="仿宋_GB2312" w:eastAsia="仿宋_GB2312"/>
              </w:rPr>
              <w:t>活动</w:t>
            </w:r>
          </w:p>
          <w:p>
            <w:pPr>
              <w:adjustRightInd w:val="0"/>
              <w:snapToGrid w:val="0"/>
              <w:jc w:val="center"/>
              <w:rPr>
                <w:rFonts w:ascii="仿宋_GB2312" w:eastAsia="仿宋_GB2312"/>
              </w:rPr>
            </w:pPr>
            <w:r>
              <w:rPr>
                <w:rFonts w:hint="eastAsia" w:ascii="仿宋_GB2312" w:eastAsia="仿宋_GB2312"/>
              </w:rPr>
              <w:t>形式</w:t>
            </w:r>
          </w:p>
        </w:tc>
        <w:tc>
          <w:tcPr>
            <w:tcW w:w="4362" w:type="dxa"/>
            <w:gridSpan w:val="3"/>
          </w:tcPr>
          <w:p>
            <w:pPr>
              <w:jc w:val="center"/>
              <w:rPr>
                <w:rFonts w:ascii="仿宋_GB2312" w:eastAsiaTheme="minorEastAsia"/>
                <w:sz w:val="18"/>
              </w:rPr>
            </w:pPr>
            <w:r>
              <w:rPr>
                <w:rFonts w:hint="eastAsia" w:ascii="仿宋_GB2312" w:eastAsiaTheme="minorEastAsia"/>
                <w:sz w:val="18"/>
              </w:rPr>
              <w:t>学习研讨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1453" w:type="dxa"/>
          </w:tcPr>
          <w:p>
            <w:pPr>
              <w:adjustRightInd w:val="0"/>
              <w:snapToGrid w:val="0"/>
              <w:jc w:val="center"/>
              <w:rPr>
                <w:rFonts w:ascii="仿宋_GB2312" w:eastAsia="仿宋_GB2312"/>
              </w:rPr>
            </w:pPr>
            <w:r>
              <w:rPr>
                <w:rFonts w:hint="eastAsia" w:ascii="仿宋_GB2312" w:eastAsia="仿宋_GB2312"/>
              </w:rPr>
              <w:t>研究的目的</w:t>
            </w:r>
          </w:p>
          <w:p>
            <w:pPr>
              <w:adjustRightInd w:val="0"/>
              <w:snapToGrid w:val="0"/>
              <w:jc w:val="center"/>
              <w:rPr>
                <w:rFonts w:ascii="仿宋_GB2312" w:eastAsiaTheme="minorEastAsia"/>
              </w:rPr>
            </w:pPr>
            <w:r>
              <w:rPr>
                <w:rFonts w:hint="eastAsia" w:ascii="仿宋_GB2312" w:eastAsia="仿宋_GB2312"/>
              </w:rPr>
              <w:t>（范围、</w:t>
            </w:r>
          </w:p>
          <w:p>
            <w:pPr>
              <w:adjustRightInd w:val="0"/>
              <w:snapToGrid w:val="0"/>
              <w:jc w:val="center"/>
              <w:rPr>
                <w:rFonts w:ascii="仿宋_GB2312" w:eastAsiaTheme="minorEastAsia"/>
                <w:sz w:val="18"/>
              </w:rPr>
            </w:pPr>
            <w:r>
              <w:rPr>
                <w:rFonts w:hint="eastAsia" w:ascii="仿宋_GB2312" w:eastAsia="仿宋_GB2312"/>
              </w:rPr>
              <w:t>方法）</w:t>
            </w:r>
          </w:p>
        </w:tc>
        <w:tc>
          <w:tcPr>
            <w:tcW w:w="7268" w:type="dxa"/>
            <w:gridSpan w:val="5"/>
          </w:tcPr>
          <w:p>
            <w:pPr>
              <w:numPr>
                <w:ilvl w:val="0"/>
                <w:numId w:val="1"/>
              </w:numPr>
              <w:jc w:val="left"/>
              <w:rPr>
                <w:rFonts w:ascii="仿宋_GB2312" w:eastAsiaTheme="minorEastAsia"/>
                <w:sz w:val="18"/>
                <w:szCs w:val="18"/>
              </w:rPr>
            </w:pPr>
            <w:r>
              <w:rPr>
                <w:rFonts w:hint="eastAsia" w:ascii="仿宋_GB2312" w:eastAsiaTheme="minorEastAsia"/>
                <w:sz w:val="18"/>
                <w:szCs w:val="18"/>
              </w:rPr>
              <w:t>学习表现性评价，分享学习心得。</w:t>
            </w:r>
          </w:p>
          <w:p>
            <w:pPr>
              <w:numPr>
                <w:ilvl w:val="0"/>
                <w:numId w:val="1"/>
              </w:numPr>
              <w:jc w:val="left"/>
              <w:rPr>
                <w:rFonts w:ascii="仿宋_GB2312" w:eastAsiaTheme="minorEastAsia"/>
                <w:sz w:val="18"/>
                <w:szCs w:val="18"/>
              </w:rPr>
            </w:pPr>
            <w:r>
              <w:rPr>
                <w:rFonts w:hint="eastAsia" w:ascii="仿宋_GB2312" w:eastAsiaTheme="minorEastAsia"/>
                <w:sz w:val="18"/>
                <w:szCs w:val="18"/>
              </w:rPr>
              <w:t>从细节和规范入手，优化论文撰写。</w:t>
            </w:r>
          </w:p>
          <w:p>
            <w:pPr>
              <w:jc w:val="left"/>
              <w:rPr>
                <w:rFonts w:ascii="仿宋_GB2312" w:eastAsiaTheme="minorEastAsia"/>
                <w:sz w:val="18"/>
                <w:szCs w:val="18"/>
              </w:rPr>
            </w:pPr>
            <w:r>
              <w:rPr>
                <w:rFonts w:hint="eastAsia" w:ascii="仿宋_GB2312" w:eastAsiaTheme="minorEastAsia"/>
                <w:sz w:val="18"/>
                <w:szCs w:val="18"/>
              </w:rPr>
              <w:t>二、明确和落实本学期表演课题组重点任务。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pPr>
              <w:jc w:val="center"/>
              <w:rPr>
                <w:rFonts w:ascii="仿宋_GB2312" w:eastAsiaTheme="minorEastAsia"/>
                <w:spacing w:val="40"/>
              </w:rPr>
            </w:pPr>
            <w:r>
              <w:rPr>
                <w:rFonts w:hint="eastAsia" w:ascii="仿宋_GB2312" w:eastAsia="仿宋_GB2312"/>
                <w:spacing w:val="40"/>
              </w:rPr>
              <w:t>主</w:t>
            </w:r>
          </w:p>
          <w:p>
            <w:pPr>
              <w:jc w:val="center"/>
              <w:rPr>
                <w:rFonts w:ascii="仿宋_GB2312" w:eastAsiaTheme="minorEastAsia"/>
                <w:spacing w:val="40"/>
              </w:rPr>
            </w:pPr>
            <w:r>
              <w:rPr>
                <w:rFonts w:hint="eastAsia" w:ascii="仿宋_GB2312" w:eastAsia="仿宋_GB2312"/>
                <w:spacing w:val="40"/>
              </w:rPr>
              <w:t>要</w:t>
            </w:r>
          </w:p>
          <w:p>
            <w:pPr>
              <w:jc w:val="center"/>
              <w:rPr>
                <w:rFonts w:ascii="仿宋_GB2312" w:eastAsiaTheme="minorEastAsia"/>
                <w:spacing w:val="40"/>
              </w:rPr>
            </w:pPr>
            <w:r>
              <w:rPr>
                <w:rFonts w:hint="eastAsia" w:ascii="仿宋_GB2312" w:eastAsia="仿宋_GB2312"/>
                <w:spacing w:val="40"/>
              </w:rPr>
              <w:t>内</w:t>
            </w:r>
          </w:p>
          <w:p>
            <w:pPr>
              <w:jc w:val="center"/>
              <w:rPr>
                <w:rFonts w:ascii="仿宋_GB2312" w:eastAsiaTheme="minorEastAsia"/>
                <w:spacing w:val="40"/>
              </w:rPr>
            </w:pPr>
            <w:r>
              <w:rPr>
                <w:rFonts w:hint="eastAsia" w:ascii="仿宋_GB2312" w:eastAsia="仿宋_GB2312"/>
                <w:spacing w:val="40"/>
              </w:rPr>
              <w:t>容</w:t>
            </w:r>
          </w:p>
          <w:p>
            <w:pPr>
              <w:jc w:val="center"/>
              <w:rPr>
                <w:rFonts w:ascii="仿宋_GB2312" w:eastAsiaTheme="minorEastAsia"/>
                <w:sz w:val="18"/>
              </w:rPr>
            </w:pPr>
          </w:p>
        </w:tc>
        <w:tc>
          <w:tcPr>
            <w:tcW w:w="7268" w:type="dxa"/>
            <w:gridSpan w:val="5"/>
            <w:vAlign w:val="center"/>
          </w:tcPr>
          <w:p>
            <w:pPr>
              <w:numPr>
                <w:ilvl w:val="0"/>
                <w:numId w:val="2"/>
              </w:numPr>
              <w:adjustRightInd w:val="0"/>
              <w:snapToGrid w:val="0"/>
              <w:spacing w:line="360" w:lineRule="auto"/>
              <w:jc w:val="left"/>
              <w:rPr>
                <w:rFonts w:ascii="仿宋_GB2312" w:eastAsiaTheme="minorEastAsia"/>
                <w:b/>
                <w:bCs/>
                <w:sz w:val="18"/>
                <w:szCs w:val="18"/>
              </w:rPr>
            </w:pPr>
            <w:r>
              <w:rPr>
                <w:rFonts w:hint="eastAsia" w:ascii="仿宋_GB2312" w:eastAsiaTheme="minorEastAsia"/>
                <w:b/>
                <w:bCs/>
                <w:sz w:val="18"/>
                <w:szCs w:val="18"/>
              </w:rPr>
              <w:t>学习什么是表现性评价？</w:t>
            </w:r>
          </w:p>
          <w:p>
            <w:pPr>
              <w:numPr>
                <w:ilvl w:val="0"/>
                <w:numId w:val="3"/>
              </w:numPr>
              <w:adjustRightInd w:val="0"/>
              <w:snapToGrid w:val="0"/>
              <w:spacing w:line="360" w:lineRule="auto"/>
              <w:jc w:val="left"/>
              <w:rPr>
                <w:rFonts w:ascii="仿宋_GB2312" w:eastAsiaTheme="minorEastAsia"/>
                <w:sz w:val="18"/>
                <w:szCs w:val="18"/>
              </w:rPr>
            </w:pPr>
            <w:r>
              <w:rPr>
                <w:rFonts w:hint="eastAsia" w:ascii="仿宋_GB2312" w:eastAsiaTheme="minorEastAsia"/>
                <w:sz w:val="18"/>
                <w:szCs w:val="18"/>
              </w:rPr>
              <w:t>了解表现性评价的概念。</w:t>
            </w:r>
          </w:p>
          <w:p>
            <w:pPr>
              <w:numPr>
                <w:ilvl w:val="0"/>
                <w:numId w:val="3"/>
              </w:numPr>
              <w:adjustRightInd w:val="0"/>
              <w:snapToGrid w:val="0"/>
              <w:spacing w:line="360" w:lineRule="auto"/>
              <w:jc w:val="left"/>
              <w:rPr>
                <w:rFonts w:ascii="仿宋_GB2312" w:eastAsiaTheme="minorEastAsia"/>
                <w:sz w:val="18"/>
                <w:szCs w:val="18"/>
              </w:rPr>
            </w:pPr>
            <w:r>
              <w:rPr>
                <w:rFonts w:hint="eastAsia" w:ascii="仿宋_GB2312" w:eastAsiaTheme="minorEastAsia"/>
                <w:sz w:val="18"/>
                <w:szCs w:val="18"/>
              </w:rPr>
              <w:t>观看天宁星课堂《多几把尺子评价的尺子》，分享学习心得。</w:t>
            </w:r>
          </w:p>
          <w:p>
            <w:pPr>
              <w:adjustRightInd w:val="0"/>
              <w:snapToGrid w:val="0"/>
              <w:spacing w:line="360" w:lineRule="auto"/>
              <w:jc w:val="left"/>
              <w:rPr>
                <w:rFonts w:ascii="仿宋_GB2312" w:eastAsiaTheme="minorEastAsia"/>
                <w:sz w:val="18"/>
                <w:szCs w:val="18"/>
              </w:rPr>
            </w:pPr>
            <w:r>
              <w:rPr>
                <w:rFonts w:hint="eastAsia" w:ascii="仿宋_GB2312" w:eastAsiaTheme="minorEastAsia"/>
                <w:b/>
                <w:bCs/>
                <w:sz w:val="18"/>
                <w:szCs w:val="18"/>
              </w:rPr>
              <w:t>陈璐：</w:t>
            </w:r>
            <w:r>
              <w:rPr>
                <w:rFonts w:hint="eastAsia" w:ascii="仿宋_GB2312" w:eastAsiaTheme="minorEastAsia"/>
                <w:sz w:val="18"/>
                <w:szCs w:val="18"/>
              </w:rPr>
              <w:t>马赛克方法。利用多种方法倾听幼儿。选择更适合幼儿的评价方法。</w:t>
            </w:r>
          </w:p>
          <w:p>
            <w:pPr>
              <w:adjustRightInd w:val="0"/>
              <w:snapToGrid w:val="0"/>
              <w:spacing w:line="360" w:lineRule="auto"/>
              <w:jc w:val="left"/>
              <w:rPr>
                <w:rFonts w:ascii="仿宋_GB2312" w:eastAsiaTheme="minorEastAsia"/>
                <w:sz w:val="18"/>
                <w:szCs w:val="18"/>
              </w:rPr>
            </w:pPr>
            <w:r>
              <w:rPr>
                <w:rFonts w:hint="eastAsia" w:ascii="仿宋_GB2312" w:eastAsiaTheme="minorEastAsia"/>
                <w:b/>
                <w:bCs/>
                <w:sz w:val="18"/>
                <w:szCs w:val="18"/>
              </w:rPr>
              <w:t>童武璞：</w:t>
            </w:r>
            <w:r>
              <w:rPr>
                <w:rFonts w:hint="eastAsia" w:ascii="仿宋_GB2312" w:eastAsiaTheme="minorEastAsia"/>
                <w:sz w:val="18"/>
                <w:szCs w:val="18"/>
              </w:rPr>
              <w:t>印象最深刻的是马赛克方法，它主要分为三个阶段：搜集信息、讨论材料、实践决策，在我们表演游戏中也可以根据这三个阶段进行游戏、表征等评价。表现性评价中口头表达与戏剧表演，虽然是根据小学的阅读等方面展开相应评价，但我觉得可以借鉴到我们表演游戏中的剧本选择、创编剧本中来。</w:t>
            </w:r>
          </w:p>
          <w:p>
            <w:pPr>
              <w:adjustRightInd w:val="0"/>
              <w:snapToGrid w:val="0"/>
              <w:spacing w:line="360" w:lineRule="auto"/>
              <w:jc w:val="left"/>
              <w:rPr>
                <w:rFonts w:ascii="仿宋_GB2312" w:eastAsiaTheme="minorEastAsia"/>
                <w:sz w:val="18"/>
                <w:szCs w:val="18"/>
              </w:rPr>
            </w:pPr>
            <w:r>
              <w:rPr>
                <w:rFonts w:hint="eastAsia" w:ascii="仿宋_GB2312" w:eastAsiaTheme="minorEastAsia"/>
                <w:b/>
                <w:bCs/>
                <w:sz w:val="18"/>
                <w:szCs w:val="18"/>
              </w:rPr>
              <w:t>王文姣：</w:t>
            </w:r>
            <w:r>
              <w:rPr>
                <w:rFonts w:hint="eastAsia" w:ascii="仿宋_GB2312" w:eastAsiaTheme="minorEastAsia"/>
                <w:sz w:val="18"/>
                <w:szCs w:val="18"/>
              </w:rPr>
              <w:t>印象最深刻的就是马赛克评价法，这个评价方法，我们一直在做，类似于：一对一倾听、游戏计划等。也有利于老师更好的了解幼儿的真实想法。</w:t>
            </w:r>
          </w:p>
          <w:p>
            <w:pPr>
              <w:adjustRightInd w:val="0"/>
              <w:snapToGrid w:val="0"/>
              <w:spacing w:line="360" w:lineRule="auto"/>
              <w:jc w:val="left"/>
              <w:rPr>
                <w:rFonts w:ascii="仿宋_GB2312" w:eastAsiaTheme="minorEastAsia"/>
                <w:sz w:val="18"/>
                <w:szCs w:val="18"/>
              </w:rPr>
            </w:pPr>
            <w:r>
              <w:rPr>
                <w:rFonts w:hint="eastAsia" w:ascii="仿宋_GB2312" w:eastAsiaTheme="minorEastAsia"/>
                <w:b/>
                <w:bCs/>
                <w:sz w:val="18"/>
                <w:szCs w:val="18"/>
              </w:rPr>
              <w:t>张君：</w:t>
            </w:r>
            <w:r>
              <w:rPr>
                <w:rFonts w:hint="eastAsia" w:ascii="仿宋_GB2312" w:eastAsiaTheme="minorEastAsia"/>
                <w:sz w:val="18"/>
                <w:szCs w:val="18"/>
              </w:rPr>
              <w:t>通过学习了解表现性评价是改变了过去评价模糊化的问题，让评价走向规范化、科学化的进步表现。量表评价很直观，很方便，可操作性强。</w:t>
            </w:r>
          </w:p>
          <w:p>
            <w:pPr>
              <w:adjustRightInd w:val="0"/>
              <w:snapToGrid w:val="0"/>
              <w:spacing w:line="360" w:lineRule="auto"/>
              <w:jc w:val="left"/>
              <w:rPr>
                <w:rFonts w:ascii="仿宋_GB2312" w:eastAsiaTheme="minorEastAsia"/>
                <w:sz w:val="18"/>
                <w:szCs w:val="18"/>
              </w:rPr>
            </w:pPr>
            <w:r>
              <w:rPr>
                <w:rFonts w:hint="eastAsia" w:ascii="仿宋_GB2312" w:eastAsiaTheme="minorEastAsia"/>
                <w:b/>
                <w:bCs/>
                <w:sz w:val="18"/>
                <w:szCs w:val="18"/>
              </w:rPr>
              <w:t>顾雪华：</w:t>
            </w:r>
            <w:r>
              <w:rPr>
                <w:rFonts w:hint="eastAsia" w:ascii="仿宋_GB2312" w:eastAsiaTheme="minorEastAsia"/>
                <w:sz w:val="18"/>
                <w:szCs w:val="18"/>
              </w:rPr>
              <w:t>学习多几把评价的尺子，其中印象最深的是“马赛克方法”，这种方法适用于幼儿研究，站在儿童立场，以儿童视角，通过三个阶段：搜索信息、讨论材料和实践决策，获取儿童的信息碎片勾画出儿童完整的需求。</w:t>
            </w:r>
          </w:p>
          <w:p>
            <w:pPr>
              <w:adjustRightInd w:val="0"/>
              <w:snapToGrid w:val="0"/>
              <w:spacing w:line="360" w:lineRule="auto"/>
              <w:jc w:val="left"/>
              <w:rPr>
                <w:rFonts w:ascii="仿宋_GB2312" w:eastAsiaTheme="minorEastAsia"/>
                <w:sz w:val="18"/>
                <w:szCs w:val="18"/>
              </w:rPr>
            </w:pPr>
            <w:r>
              <w:rPr>
                <w:rFonts w:hint="eastAsia" w:ascii="仿宋_GB2312" w:eastAsiaTheme="minorEastAsia"/>
                <w:b/>
                <w:bCs/>
                <w:sz w:val="18"/>
                <w:szCs w:val="18"/>
              </w:rPr>
              <w:t>谢婧：</w:t>
            </w:r>
            <w:r>
              <w:rPr>
                <w:rFonts w:hint="eastAsia" w:ascii="仿宋_GB2312" w:eastAsiaTheme="minorEastAsia"/>
                <w:sz w:val="18"/>
                <w:szCs w:val="18"/>
              </w:rPr>
              <w:t>表现性评价是过程性的评价行为。在真实的情境中，通过幼儿的行为反馈，了解幼儿的发展水平，从而科学地为幼儿制定发展目标。结合表演游戏的开展，通过这种评价可以更全面地评价幼儿在游戏中的表现与发展，为教师在下阶段游戏中的指导策略和支持给出明确的方向。</w:t>
            </w:r>
          </w:p>
          <w:p>
            <w:pPr>
              <w:adjustRightInd w:val="0"/>
              <w:snapToGrid w:val="0"/>
              <w:spacing w:line="360" w:lineRule="auto"/>
              <w:jc w:val="left"/>
              <w:rPr>
                <w:rFonts w:ascii="仿宋_GB2312" w:eastAsiaTheme="minorEastAsia"/>
                <w:sz w:val="18"/>
                <w:szCs w:val="18"/>
              </w:rPr>
            </w:pPr>
            <w:r>
              <w:rPr>
                <w:rFonts w:hint="eastAsia" w:ascii="仿宋_GB2312" w:eastAsiaTheme="minorEastAsia"/>
                <w:b/>
                <w:bCs/>
                <w:sz w:val="18"/>
                <w:szCs w:val="18"/>
              </w:rPr>
              <w:t>徐银：</w:t>
            </w:r>
            <w:r>
              <w:rPr>
                <w:rFonts w:hint="eastAsia" w:ascii="仿宋_GB2312" w:eastAsiaTheme="minorEastAsia"/>
                <w:sz w:val="18"/>
                <w:szCs w:val="18"/>
              </w:rPr>
              <w:t>马赛克评价最大的特点是鲜明的儿童立场。我们要巧用多元的参与式的研究工具，获取儿童的信息碎片。</w:t>
            </w:r>
          </w:p>
          <w:p>
            <w:pPr>
              <w:adjustRightInd w:val="0"/>
              <w:snapToGrid w:val="0"/>
              <w:spacing w:line="360" w:lineRule="auto"/>
              <w:jc w:val="left"/>
              <w:rPr>
                <w:rFonts w:ascii="仿宋_GB2312" w:eastAsiaTheme="minorEastAsia"/>
                <w:sz w:val="18"/>
                <w:szCs w:val="18"/>
              </w:rPr>
            </w:pPr>
            <w:r>
              <w:rPr>
                <w:rFonts w:hint="eastAsia" w:ascii="仿宋_GB2312" w:eastAsiaTheme="minorEastAsia"/>
                <w:b/>
                <w:bCs/>
                <w:sz w:val="18"/>
                <w:szCs w:val="18"/>
              </w:rPr>
              <w:t>史银华：</w:t>
            </w:r>
            <w:r>
              <w:rPr>
                <w:rFonts w:hint="eastAsia" w:ascii="仿宋_GB2312" w:eastAsiaTheme="minorEastAsia"/>
                <w:sz w:val="18"/>
                <w:szCs w:val="18"/>
              </w:rPr>
              <w:t>学习了多几把评价的尺子，其中有适合于幼儿研究的马赛克方法，个人觉得可以参考运用，尤其是参与研究的工具：自主摄影、绘画、幼儿会议等。均以幼儿为主体，具体内容都以儿童立场和儿童视角来呈现。</w:t>
            </w:r>
          </w:p>
          <w:p>
            <w:pPr>
              <w:adjustRightInd w:val="0"/>
              <w:snapToGrid w:val="0"/>
              <w:spacing w:line="360" w:lineRule="auto"/>
              <w:jc w:val="left"/>
              <w:rPr>
                <w:rFonts w:ascii="仿宋_GB2312" w:eastAsiaTheme="minorEastAsia"/>
                <w:sz w:val="18"/>
                <w:szCs w:val="18"/>
              </w:rPr>
            </w:pPr>
            <w:r>
              <w:rPr>
                <w:rFonts w:hint="eastAsia" w:ascii="仿宋_GB2312" w:eastAsiaTheme="minorEastAsia"/>
                <w:b/>
                <w:bCs/>
                <w:sz w:val="18"/>
                <w:szCs w:val="18"/>
              </w:rPr>
              <w:t>赵红霞:</w:t>
            </w:r>
            <w:r>
              <w:rPr>
                <w:rFonts w:hint="eastAsia" w:ascii="仿宋_GB2312" w:eastAsiaTheme="minorEastAsia"/>
                <w:sz w:val="18"/>
                <w:szCs w:val="18"/>
              </w:rPr>
              <w:t>每个幼儿个性不同，表现表达也不同。马赛克方法，鼓励孩子可以用“一百种语言”来表达自己。马赛克方法有鲜明的儿童立场和儿童视角，老师要鼓励幼儿通过会议、幼儿园之旅、投票等方式进行表达。</w:t>
            </w:r>
          </w:p>
          <w:p>
            <w:pPr>
              <w:adjustRightInd w:val="0"/>
              <w:snapToGrid w:val="0"/>
              <w:spacing w:line="360" w:lineRule="auto"/>
              <w:jc w:val="left"/>
              <w:rPr>
                <w:rFonts w:ascii="仿宋_GB2312" w:eastAsiaTheme="minorEastAsia"/>
                <w:sz w:val="18"/>
                <w:szCs w:val="18"/>
              </w:rPr>
            </w:pPr>
            <w:r>
              <w:rPr>
                <w:rFonts w:hint="eastAsia" w:ascii="仿宋_GB2312" w:eastAsiaTheme="minorEastAsia"/>
                <w:b/>
                <w:bCs/>
                <w:sz w:val="18"/>
                <w:szCs w:val="18"/>
              </w:rPr>
              <w:t>张婷：</w:t>
            </w:r>
            <w:r>
              <w:rPr>
                <w:rFonts w:hint="eastAsia" w:ascii="仿宋_GB2312" w:eastAsiaTheme="minorEastAsia"/>
                <w:sz w:val="18"/>
                <w:szCs w:val="18"/>
              </w:rPr>
              <w:t>马赛克方法提到的工具让我记忆深刻，如自主摄影、幼儿会议等，体现鲜明的儿童立场和儿童视角，既有趣又新颖，平时利用这些工具可以帮助我更了解幼儿视角下的世界。</w:t>
            </w:r>
          </w:p>
          <w:p>
            <w:pPr>
              <w:adjustRightInd w:val="0"/>
              <w:snapToGrid w:val="0"/>
              <w:spacing w:line="360" w:lineRule="auto"/>
              <w:jc w:val="left"/>
              <w:rPr>
                <w:rFonts w:ascii="仿宋_GB2312" w:eastAsiaTheme="minorEastAsia"/>
                <w:sz w:val="18"/>
                <w:szCs w:val="18"/>
              </w:rPr>
            </w:pPr>
            <w:r>
              <w:rPr>
                <w:rFonts w:hint="eastAsia" w:ascii="仿宋_GB2312" w:eastAsiaTheme="minorEastAsia"/>
                <w:b/>
                <w:bCs/>
                <w:sz w:val="18"/>
                <w:szCs w:val="18"/>
              </w:rPr>
              <w:t>庞洁：</w:t>
            </w:r>
            <w:r>
              <w:rPr>
                <w:rFonts w:hint="eastAsia" w:ascii="仿宋_GB2312" w:eastAsiaTheme="minorEastAsia"/>
                <w:sz w:val="18"/>
                <w:szCs w:val="18"/>
              </w:rPr>
              <w:t>对幼儿的评价不能一表到底，要多元评价，既要关注评价的结果，更要重视评价的过程，以“评”促“教与学”。本次的学习，有关表现性评价的内容对我的论文有非常高的指导作用，案例详实具体，值得借鉴与学习。</w:t>
            </w:r>
          </w:p>
          <w:p>
            <w:pPr>
              <w:adjustRightInd w:val="0"/>
              <w:snapToGrid w:val="0"/>
              <w:spacing w:line="360" w:lineRule="auto"/>
              <w:jc w:val="left"/>
              <w:rPr>
                <w:rFonts w:ascii="仿宋_GB2312" w:eastAsiaTheme="minorEastAsia"/>
                <w:sz w:val="18"/>
                <w:szCs w:val="18"/>
              </w:rPr>
            </w:pPr>
            <w:r>
              <w:rPr>
                <w:rFonts w:hint="eastAsia" w:ascii="仿宋_GB2312" w:eastAsiaTheme="minorEastAsia"/>
                <w:b/>
                <w:bCs/>
                <w:sz w:val="18"/>
                <w:szCs w:val="18"/>
              </w:rPr>
              <w:t>宋丹枫：</w:t>
            </w:r>
            <w:r>
              <w:rPr>
                <w:rFonts w:hint="eastAsia" w:ascii="仿宋_GB2312" w:eastAsiaTheme="minorEastAsia"/>
                <w:sz w:val="18"/>
                <w:szCs w:val="18"/>
              </w:rPr>
              <w:t>在幼儿游戏的发展过程中，我们可以通过量表进行记录和评价，可以更直观更方便地了解孩子的发展，同时对于后期幼儿行为的调整更加具有可操作性。</w:t>
            </w:r>
          </w:p>
          <w:p>
            <w:pPr>
              <w:adjustRightInd w:val="0"/>
              <w:snapToGrid w:val="0"/>
              <w:spacing w:line="360" w:lineRule="auto"/>
              <w:jc w:val="left"/>
              <w:rPr>
                <w:rFonts w:ascii="仿宋_GB2312" w:eastAsiaTheme="minorEastAsia"/>
                <w:sz w:val="18"/>
                <w:szCs w:val="18"/>
              </w:rPr>
            </w:pPr>
            <w:r>
              <w:rPr>
                <w:rFonts w:hint="eastAsia" w:ascii="仿宋_GB2312" w:eastAsiaTheme="minorEastAsia"/>
                <w:b/>
                <w:bCs/>
                <w:sz w:val="18"/>
                <w:szCs w:val="18"/>
              </w:rPr>
              <w:t>王宝秀：</w:t>
            </w:r>
            <w:r>
              <w:rPr>
                <w:rFonts w:hint="eastAsia" w:ascii="仿宋_GB2312" w:eastAsiaTheme="minorEastAsia"/>
                <w:sz w:val="18"/>
                <w:szCs w:val="18"/>
              </w:rPr>
              <w:t>看了天宁星课堂中的“多几把评价的尺子”中，我比较欣赏马赛克方法，它最初针对的是“5岁以下幼儿倾听言语能力有限”这一难题提出的。有时幼儿很难清晰地表达自己的真实想法，但他们有“一百种语言”来表达自己，有时我们想回应他们的“一百种语言”就需要创建出“一百种聆听的方法”，不应仅限于“耳朵之听”，马赛克方法就可以运用，我们可以实践一下。</w:t>
            </w:r>
          </w:p>
          <w:p>
            <w:pPr>
              <w:adjustRightInd w:val="0"/>
              <w:snapToGrid w:val="0"/>
              <w:spacing w:line="360" w:lineRule="auto"/>
              <w:jc w:val="left"/>
              <w:rPr>
                <w:rFonts w:ascii="仿宋_GB2312" w:eastAsiaTheme="minorEastAsia"/>
                <w:sz w:val="18"/>
                <w:szCs w:val="18"/>
              </w:rPr>
            </w:pPr>
            <w:r>
              <w:rPr>
                <w:rFonts w:hint="eastAsia" w:ascii="仿宋_GB2312" w:eastAsiaTheme="minorEastAsia"/>
                <w:b/>
                <w:bCs/>
                <w:sz w:val="18"/>
                <w:szCs w:val="18"/>
              </w:rPr>
              <w:t>顾婷嫣：</w:t>
            </w:r>
            <w:r>
              <w:rPr>
                <w:rFonts w:ascii="仿宋_GB2312" w:eastAsiaTheme="minorEastAsia"/>
                <w:sz w:val="18"/>
                <w:szCs w:val="18"/>
              </w:rPr>
              <w:t>学习了《多几把评价的尺子》后，感觉除了笔试，其它都同样适用于幼儿教育，尤其是表现性评价，在幼儿教育中实践运用性更强，感觉跟注重孩子学习的过程。</w:t>
            </w:r>
            <w:r>
              <w:rPr>
                <w:rFonts w:ascii="宋体" w:hAnsi="宋体" w:cs="宋体"/>
                <w:sz w:val="24"/>
              </w:rPr>
              <w:br w:type="textWrapping"/>
            </w:r>
            <w:r>
              <w:rPr>
                <w:rFonts w:ascii="仿宋_GB2312" w:eastAsiaTheme="minorEastAsia"/>
                <w:b/>
                <w:bCs/>
                <w:sz w:val="18"/>
                <w:szCs w:val="18"/>
              </w:rPr>
              <w:t>景小卫：</w:t>
            </w:r>
            <w:r>
              <w:rPr>
                <w:rFonts w:ascii="仿宋_GB2312" w:eastAsiaTheme="minorEastAsia"/>
                <w:sz w:val="18"/>
                <w:szCs w:val="18"/>
              </w:rPr>
              <w:t>通过学习我主要对戏剧表演《小鹿斑比》课本剧表演的评价比较有启发。它设置三个任务使得评价工作清晰明了，一是师生讨论并总结成功之处，孩子尝试改编剧本。二是师生根据评价标准讨论并选择出更成功的剧本，招募剧组成员并排练表演。三是其他组根据评分规则评分，选择优秀演员和剧组，并邀请家长代表和老师对课本剧进行欣赏和点评，这个评价方法后期值得借鉴。</w:t>
            </w:r>
          </w:p>
          <w:p>
            <w:pPr>
              <w:adjustRightInd w:val="0"/>
              <w:snapToGrid w:val="0"/>
              <w:spacing w:line="360" w:lineRule="auto"/>
              <w:jc w:val="left"/>
              <w:rPr>
                <w:rFonts w:ascii="仿宋_GB2312" w:eastAsiaTheme="minorEastAsia"/>
                <w:sz w:val="18"/>
                <w:szCs w:val="18"/>
              </w:rPr>
            </w:pPr>
            <w:r>
              <w:rPr>
                <w:rFonts w:hint="eastAsia" w:ascii="仿宋_GB2312" w:eastAsiaTheme="minorEastAsia"/>
                <w:b/>
                <w:bCs/>
                <w:sz w:val="18"/>
                <w:szCs w:val="18"/>
              </w:rPr>
              <w:t>吴丹：</w:t>
            </w:r>
            <w:r>
              <w:rPr>
                <w:rFonts w:hint="eastAsia" w:ascii="仿宋_GB2312" w:eastAsiaTheme="minorEastAsia"/>
                <w:sz w:val="18"/>
                <w:szCs w:val="18"/>
              </w:rPr>
              <w:t>运用马赛克方法暨搜索信息、讨论材料和实践决策三个阶段来获取儿童的信息碎片勾画出儿童完整的需求，支持幼儿深度学习。</w:t>
            </w:r>
            <w:r>
              <w:rPr>
                <w:rFonts w:ascii="仿宋_GB2312" w:eastAsiaTheme="minorEastAsia"/>
                <w:sz w:val="18"/>
                <w:szCs w:val="18"/>
              </w:rPr>
              <w:br w:type="textWrapping"/>
            </w:r>
            <w:r>
              <w:rPr>
                <w:rFonts w:hint="eastAsia" w:ascii="仿宋_GB2312" w:eastAsiaTheme="minorEastAsia"/>
                <w:sz w:val="18"/>
                <w:szCs w:val="18"/>
              </w:rPr>
              <w:t>洑</w:t>
            </w:r>
            <w:r>
              <w:rPr>
                <w:rFonts w:ascii="仿宋_GB2312" w:eastAsiaTheme="minorEastAsia"/>
                <w:b/>
                <w:bCs/>
                <w:sz w:val="18"/>
                <w:szCs w:val="18"/>
              </w:rPr>
              <w:t>建秋：</w:t>
            </w:r>
            <w:r>
              <w:rPr>
                <w:rFonts w:ascii="仿宋_GB2312" w:eastAsiaTheme="minorEastAsia"/>
                <w:sz w:val="18"/>
                <w:szCs w:val="18"/>
              </w:rPr>
              <w:t>表现性评价能检测传统纸笔测验检测不了的学习结果。(不仅评价学生知道什么，更重要的是评价学生能做什么。不仅学生行为表现的结果，更重要的是评价学生行为表现的过程。不仅是对某个学习领域、某方面能力的评价，更重要的是对学生综合运用已有知识进行评 价。)促进学生学习和成长。</w:t>
            </w:r>
          </w:p>
          <w:p>
            <w:pPr>
              <w:numPr>
                <w:ilvl w:val="0"/>
                <w:numId w:val="2"/>
              </w:numPr>
              <w:adjustRightInd w:val="0"/>
              <w:snapToGrid w:val="0"/>
              <w:spacing w:line="360" w:lineRule="auto"/>
              <w:jc w:val="left"/>
              <w:rPr>
                <w:rFonts w:ascii="仿宋_GB2312" w:eastAsiaTheme="minorEastAsia"/>
                <w:b/>
                <w:bCs/>
                <w:sz w:val="18"/>
                <w:szCs w:val="18"/>
              </w:rPr>
            </w:pPr>
            <w:r>
              <w:rPr>
                <w:rFonts w:hint="eastAsia" w:ascii="仿宋_GB2312" w:eastAsiaTheme="minorEastAsia"/>
                <w:b/>
                <w:bCs/>
                <w:sz w:val="18"/>
                <w:szCs w:val="18"/>
              </w:rPr>
              <w:t>论文撰写与优化</w:t>
            </w:r>
          </w:p>
          <w:p>
            <w:pPr>
              <w:adjustRightInd w:val="0"/>
              <w:snapToGrid w:val="0"/>
              <w:spacing w:line="360" w:lineRule="auto"/>
              <w:jc w:val="left"/>
              <w:rPr>
                <w:rFonts w:ascii="仿宋_GB2312" w:eastAsiaTheme="minorEastAsia"/>
                <w:sz w:val="18"/>
                <w:szCs w:val="18"/>
              </w:rPr>
            </w:pPr>
            <w:r>
              <w:rPr>
                <w:rFonts w:hint="eastAsia" w:ascii="仿宋_GB2312" w:eastAsiaTheme="minorEastAsia"/>
                <w:sz w:val="18"/>
                <w:szCs w:val="18"/>
              </w:rPr>
              <w:t>1.友情提醒：论文撰写时要找与关键词相关的文献，寻找正规的杂志作为参考文献。例如，《早期教育》，知网等。</w:t>
            </w:r>
          </w:p>
          <w:p>
            <w:pPr>
              <w:adjustRightInd w:val="0"/>
              <w:snapToGrid w:val="0"/>
              <w:spacing w:line="360" w:lineRule="auto"/>
              <w:jc w:val="left"/>
              <w:rPr>
                <w:rFonts w:ascii="仿宋_GB2312" w:eastAsiaTheme="minorEastAsia"/>
                <w:sz w:val="18"/>
                <w:szCs w:val="18"/>
              </w:rPr>
            </w:pPr>
            <w:r>
              <w:rPr>
                <w:rFonts w:hint="eastAsia" w:ascii="仿宋_GB2312" w:eastAsiaTheme="minorEastAsia"/>
                <w:sz w:val="18"/>
                <w:szCs w:val="18"/>
              </w:rPr>
              <w:t>2.教师共同学习景小卫老师的论文：论文格式，小标题，参考文献等。</w:t>
            </w:r>
          </w:p>
          <w:p>
            <w:pPr>
              <w:adjustRightInd w:val="0"/>
              <w:snapToGrid w:val="0"/>
              <w:spacing w:line="360" w:lineRule="auto"/>
              <w:jc w:val="left"/>
              <w:rPr>
                <w:rFonts w:ascii="仿宋_GB2312" w:eastAsiaTheme="minorEastAsia"/>
                <w:sz w:val="18"/>
                <w:szCs w:val="18"/>
              </w:rPr>
            </w:pPr>
            <w:r>
              <w:rPr>
                <w:rFonts w:hint="eastAsia" w:ascii="仿宋_GB2312" w:eastAsiaTheme="minorEastAsia"/>
                <w:sz w:val="18"/>
                <w:szCs w:val="18"/>
              </w:rPr>
              <w:t>3.庞洁老师新撰写论文心得分享。</w:t>
            </w:r>
          </w:p>
          <w:p>
            <w:pPr>
              <w:adjustRightInd w:val="0"/>
              <w:snapToGrid w:val="0"/>
              <w:spacing w:line="360" w:lineRule="auto"/>
              <w:jc w:val="left"/>
              <w:rPr>
                <w:rFonts w:ascii="仿宋_GB2312" w:eastAsiaTheme="minorEastAsia"/>
                <w:sz w:val="18"/>
                <w:szCs w:val="18"/>
              </w:rPr>
            </w:pPr>
            <w:r>
              <w:rPr>
                <w:rFonts w:hint="eastAsia" w:ascii="仿宋_GB2312" w:eastAsiaTheme="minorEastAsia"/>
                <w:sz w:val="18"/>
                <w:szCs w:val="18"/>
              </w:rPr>
              <w:t>（1）以某一具体实例为本，融入表现性评价。</w:t>
            </w:r>
          </w:p>
          <w:p>
            <w:pPr>
              <w:adjustRightInd w:val="0"/>
              <w:snapToGrid w:val="0"/>
              <w:spacing w:line="360" w:lineRule="auto"/>
              <w:jc w:val="left"/>
              <w:rPr>
                <w:rFonts w:ascii="仿宋_GB2312" w:eastAsiaTheme="minorEastAsia"/>
                <w:sz w:val="18"/>
                <w:szCs w:val="18"/>
              </w:rPr>
            </w:pPr>
            <w:r>
              <w:rPr>
                <w:rFonts w:hint="eastAsia" w:ascii="仿宋_GB2312" w:eastAsiaTheme="minorEastAsia"/>
                <w:sz w:val="18"/>
                <w:szCs w:val="18"/>
              </w:rPr>
              <w:t>（2）目标对准专业书本，模仿撰写和梳理。</w:t>
            </w:r>
          </w:p>
          <w:p>
            <w:pPr>
              <w:adjustRightInd w:val="0"/>
              <w:snapToGrid w:val="0"/>
              <w:spacing w:line="360" w:lineRule="auto"/>
              <w:jc w:val="left"/>
              <w:rPr>
                <w:rFonts w:ascii="仿宋_GB2312" w:eastAsiaTheme="minorEastAsia"/>
                <w:sz w:val="18"/>
                <w:szCs w:val="18"/>
              </w:rPr>
            </w:pPr>
            <w:r>
              <w:rPr>
                <w:rFonts w:hint="eastAsia" w:ascii="仿宋_GB2312" w:eastAsiaTheme="minorEastAsia"/>
                <w:sz w:val="18"/>
                <w:szCs w:val="18"/>
              </w:rPr>
              <w:t>（3）表现性评价关注具体的过程，每个月观察案例融入其中，每个月关注的侧重点不一样。</w:t>
            </w:r>
          </w:p>
          <w:p>
            <w:pPr>
              <w:adjustRightInd w:val="0"/>
              <w:snapToGrid w:val="0"/>
              <w:spacing w:line="360" w:lineRule="auto"/>
              <w:jc w:val="left"/>
              <w:rPr>
                <w:rFonts w:ascii="仿宋_GB2312" w:eastAsiaTheme="minorEastAsia"/>
                <w:sz w:val="18"/>
                <w:szCs w:val="18"/>
              </w:rPr>
            </w:pPr>
            <w:r>
              <w:rPr>
                <w:rFonts w:hint="eastAsia" w:ascii="仿宋_GB2312" w:eastAsiaTheme="minorEastAsia"/>
                <w:sz w:val="18"/>
                <w:szCs w:val="18"/>
              </w:rPr>
              <w:t>最终的目的落在促进孩子的发展和孩子的主动学习上。</w:t>
            </w:r>
          </w:p>
          <w:p>
            <w:pPr>
              <w:adjustRightInd w:val="0"/>
              <w:snapToGrid w:val="0"/>
              <w:spacing w:line="360" w:lineRule="auto"/>
              <w:jc w:val="left"/>
              <w:rPr>
                <w:rFonts w:ascii="仿宋_GB2312" w:eastAsiaTheme="minorEastAsia"/>
                <w:sz w:val="18"/>
                <w:szCs w:val="18"/>
              </w:rPr>
            </w:pPr>
            <w:r>
              <w:rPr>
                <w:rFonts w:hint="eastAsia" w:ascii="仿宋_GB2312" w:eastAsiaTheme="minorEastAsia"/>
                <w:sz w:val="18"/>
                <w:szCs w:val="18"/>
              </w:rPr>
              <w:t>（4）从多个维度出发，涉及相关的任务与目标。每个任务细化成小任务，有环境、材料等。</w:t>
            </w:r>
          </w:p>
          <w:p>
            <w:pPr>
              <w:adjustRightInd w:val="0"/>
              <w:snapToGrid w:val="0"/>
              <w:spacing w:line="360" w:lineRule="auto"/>
              <w:jc w:val="left"/>
              <w:rPr>
                <w:rFonts w:ascii="仿宋_GB2312" w:eastAsiaTheme="minorEastAsia"/>
                <w:sz w:val="18"/>
                <w:szCs w:val="18"/>
              </w:rPr>
            </w:pPr>
            <w:r>
              <w:rPr>
                <w:rFonts w:hint="eastAsia" w:ascii="仿宋_GB2312" w:eastAsiaTheme="minorEastAsia"/>
                <w:sz w:val="18"/>
                <w:szCs w:val="18"/>
              </w:rPr>
              <w:t>（5）最后落在孩子的表征，撰写前学习了课本剧的内容，受到启发：明确评价的意义，与孩子的主动学习相连接。</w:t>
            </w:r>
          </w:p>
          <w:p>
            <w:pPr>
              <w:adjustRightInd w:val="0"/>
              <w:snapToGrid w:val="0"/>
              <w:spacing w:line="360" w:lineRule="auto"/>
              <w:jc w:val="left"/>
              <w:rPr>
                <w:rFonts w:ascii="仿宋_GB2312" w:eastAsiaTheme="minorEastAsia"/>
                <w:sz w:val="18"/>
                <w:szCs w:val="18"/>
              </w:rPr>
            </w:pPr>
            <w:r>
              <w:rPr>
                <w:rFonts w:hint="eastAsia" w:ascii="仿宋_GB2312" w:eastAsiaTheme="minorEastAsia"/>
                <w:sz w:val="18"/>
                <w:szCs w:val="18"/>
              </w:rPr>
              <w:t>教师心得：</w:t>
            </w:r>
          </w:p>
          <w:p>
            <w:pPr>
              <w:adjustRightInd w:val="0"/>
              <w:snapToGrid w:val="0"/>
              <w:spacing w:line="360" w:lineRule="auto"/>
              <w:jc w:val="left"/>
              <w:rPr>
                <w:rFonts w:ascii="仿宋_GB2312" w:eastAsiaTheme="minorEastAsia"/>
                <w:sz w:val="18"/>
                <w:szCs w:val="18"/>
              </w:rPr>
            </w:pPr>
            <w:r>
              <w:rPr>
                <w:rFonts w:hint="eastAsia" w:ascii="仿宋_GB2312" w:eastAsiaTheme="minorEastAsia"/>
                <w:sz w:val="18"/>
                <w:szCs w:val="18"/>
              </w:rPr>
              <w:t>张君：撰写形式多样，内容丰富，值得学习。</w:t>
            </w:r>
          </w:p>
          <w:p>
            <w:pPr>
              <w:adjustRightInd w:val="0"/>
              <w:snapToGrid w:val="0"/>
              <w:spacing w:line="360" w:lineRule="auto"/>
              <w:jc w:val="left"/>
              <w:rPr>
                <w:rFonts w:ascii="仿宋_GB2312" w:eastAsiaTheme="minorEastAsia"/>
                <w:sz w:val="18"/>
                <w:szCs w:val="18"/>
              </w:rPr>
            </w:pPr>
            <w:r>
              <w:rPr>
                <w:rFonts w:hint="eastAsia" w:ascii="仿宋_GB2312" w:eastAsiaTheme="minorEastAsia"/>
                <w:sz w:val="18"/>
                <w:szCs w:val="18"/>
              </w:rPr>
              <w:t>奚秋艳：其他领域的表现性评价，放入表演游戏是否科学，是否实用，还有待实践验证。</w:t>
            </w:r>
          </w:p>
          <w:p>
            <w:pPr>
              <w:numPr>
                <w:ilvl w:val="0"/>
                <w:numId w:val="2"/>
              </w:numPr>
              <w:adjustRightInd w:val="0"/>
              <w:snapToGrid w:val="0"/>
              <w:spacing w:line="360" w:lineRule="auto"/>
              <w:jc w:val="left"/>
              <w:rPr>
                <w:rFonts w:ascii="仿宋_GB2312" w:eastAsiaTheme="minorEastAsia"/>
                <w:b/>
                <w:bCs/>
                <w:sz w:val="18"/>
                <w:szCs w:val="18"/>
              </w:rPr>
            </w:pPr>
            <w:r>
              <w:rPr>
                <w:rFonts w:hint="eastAsia" w:ascii="仿宋_GB2312" w:eastAsiaTheme="minorEastAsia"/>
                <w:b/>
                <w:bCs/>
                <w:sz w:val="18"/>
                <w:szCs w:val="18"/>
              </w:rPr>
              <w:t>表演课题组落实本学期计划。</w:t>
            </w:r>
          </w:p>
          <w:p>
            <w:pPr>
              <w:numPr>
                <w:ilvl w:val="0"/>
                <w:numId w:val="4"/>
              </w:numPr>
              <w:adjustRightInd w:val="0"/>
              <w:snapToGrid w:val="0"/>
              <w:spacing w:line="360" w:lineRule="auto"/>
              <w:jc w:val="left"/>
              <w:rPr>
                <w:rFonts w:ascii="仿宋_GB2312" w:eastAsiaTheme="minorEastAsia"/>
                <w:sz w:val="18"/>
                <w:szCs w:val="18"/>
              </w:rPr>
            </w:pPr>
            <w:r>
              <w:rPr>
                <w:rFonts w:hint="eastAsia" w:ascii="仿宋_GB2312" w:eastAsiaTheme="minorEastAsia"/>
                <w:sz w:val="18"/>
                <w:szCs w:val="18"/>
              </w:rPr>
              <w:t>徐银结合前期研究情况，围绕“环境创设、经验积累、文献学习、论文撰写”等方面说一说本学期的研究计划。</w:t>
            </w:r>
          </w:p>
          <w:p>
            <w:pPr>
              <w:numPr>
                <w:ilvl w:val="0"/>
                <w:numId w:val="4"/>
              </w:numPr>
              <w:adjustRightInd w:val="0"/>
              <w:snapToGrid w:val="0"/>
              <w:spacing w:line="360" w:lineRule="auto"/>
              <w:jc w:val="left"/>
              <w:rPr>
                <w:rFonts w:ascii="仿宋_GB2312" w:eastAsiaTheme="minorEastAsia"/>
                <w:sz w:val="18"/>
                <w:szCs w:val="18"/>
              </w:rPr>
            </w:pPr>
            <w:r>
              <w:rPr>
                <w:rFonts w:hint="eastAsia" w:ascii="仿宋_GB2312" w:eastAsiaTheme="minorEastAsia"/>
                <w:sz w:val="18"/>
                <w:szCs w:val="18"/>
              </w:rPr>
              <w:t>居海燕逐月落实具体工作安排。</w:t>
            </w:r>
          </w:p>
          <w:p>
            <w:pPr>
              <w:numPr>
                <w:numId w:val="0"/>
              </w:numPr>
              <w:adjustRightInd w:val="0"/>
              <w:snapToGrid w:val="0"/>
              <w:spacing w:line="360" w:lineRule="auto"/>
              <w:jc w:val="left"/>
              <w:rPr>
                <w:rFonts w:hint="eastAsia" w:ascii="仿宋_GB2312" w:eastAsiaTheme="minorEastAsia"/>
                <w:sz w:val="18"/>
                <w:szCs w:val="18"/>
              </w:rPr>
            </w:pPr>
            <w:bookmarkStart w:id="0" w:name="_GoBack"/>
            <w:bookmarkEnd w:id="0"/>
          </w:p>
          <w:p>
            <w:pPr>
              <w:numPr>
                <w:numId w:val="0"/>
              </w:numPr>
              <w:adjustRightInd w:val="0"/>
              <w:snapToGrid w:val="0"/>
              <w:spacing w:line="360" w:lineRule="auto"/>
              <w:jc w:val="left"/>
              <w:rPr>
                <w:rFonts w:hint="eastAsia" w:ascii="仿宋_GB2312" w:eastAsiaTheme="minorEastAsia"/>
                <w:b/>
                <w:bCs/>
                <w:sz w:val="18"/>
                <w:szCs w:val="18"/>
                <w:lang w:val="en-US" w:eastAsia="zh-CN"/>
              </w:rPr>
            </w:pPr>
            <w:r>
              <w:rPr>
                <w:rFonts w:hint="eastAsia" w:ascii="仿宋_GB2312" w:eastAsiaTheme="minorEastAsia"/>
                <w:b/>
                <w:bCs/>
                <w:sz w:val="18"/>
                <w:szCs w:val="18"/>
                <w:lang w:val="en-US" w:eastAsia="zh-CN"/>
              </w:rPr>
              <w:t>附照片：</w:t>
            </w:r>
          </w:p>
          <w:p>
            <w:pPr>
              <w:numPr>
                <w:numId w:val="0"/>
              </w:numPr>
              <w:adjustRightInd w:val="0"/>
              <w:snapToGrid w:val="0"/>
              <w:spacing w:line="360" w:lineRule="auto"/>
              <w:jc w:val="left"/>
              <w:rPr>
                <w:rFonts w:hint="eastAsia" w:ascii="仿宋_GB2312" w:eastAsiaTheme="minorEastAsia"/>
                <w:sz w:val="18"/>
                <w:szCs w:val="18"/>
                <w:lang w:eastAsia="zh-CN"/>
              </w:rPr>
            </w:pPr>
            <w:r>
              <w:rPr>
                <w:rFonts w:hint="eastAsia" w:ascii="仿宋_GB2312" w:eastAsiaTheme="minorEastAsia"/>
                <w:sz w:val="18"/>
                <w:szCs w:val="18"/>
                <w:lang w:eastAsia="zh-CN"/>
              </w:rPr>
              <w:drawing>
                <wp:inline distT="0" distB="0" distL="114300" distR="114300">
                  <wp:extent cx="4474845" cy="2684780"/>
                  <wp:effectExtent l="0" t="0" r="1905" b="127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6"/>
                          <a:stretch>
                            <a:fillRect/>
                          </a:stretch>
                        </pic:blipFill>
                        <pic:spPr>
                          <a:xfrm>
                            <a:off x="0" y="0"/>
                            <a:ext cx="4474845" cy="2684780"/>
                          </a:xfrm>
                          <a:prstGeom prst="rect">
                            <a:avLst/>
                          </a:prstGeom>
                        </pic:spPr>
                      </pic:pic>
                    </a:graphicData>
                  </a:graphic>
                </wp:inline>
              </w:drawing>
            </w:r>
          </w:p>
          <w:p>
            <w:pPr>
              <w:numPr>
                <w:numId w:val="0"/>
              </w:numPr>
              <w:adjustRightInd w:val="0"/>
              <w:snapToGrid w:val="0"/>
              <w:spacing w:line="360" w:lineRule="auto"/>
              <w:jc w:val="left"/>
              <w:rPr>
                <w:rFonts w:hint="eastAsia" w:ascii="仿宋_GB2312" w:eastAsiaTheme="minorEastAsia"/>
                <w:sz w:val="18"/>
                <w:szCs w:val="18"/>
                <w:lang w:eastAsia="zh-CN"/>
              </w:rPr>
            </w:pPr>
            <w:r>
              <w:rPr>
                <w:rFonts w:hint="eastAsia" w:ascii="仿宋_GB2312" w:eastAsiaTheme="minorEastAsia"/>
                <w:sz w:val="18"/>
                <w:szCs w:val="18"/>
                <w:lang w:eastAsia="zh-CN"/>
              </w:rPr>
              <w:drawing>
                <wp:inline distT="0" distB="0" distL="114300" distR="114300">
                  <wp:extent cx="4474845" cy="2684780"/>
                  <wp:effectExtent l="0" t="0" r="1905" b="1270"/>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a:blip r:embed="rId7"/>
                          <a:stretch>
                            <a:fillRect/>
                          </a:stretch>
                        </pic:blipFill>
                        <pic:spPr>
                          <a:xfrm>
                            <a:off x="0" y="0"/>
                            <a:ext cx="4474845" cy="2684780"/>
                          </a:xfrm>
                          <a:prstGeom prst="rect">
                            <a:avLst/>
                          </a:prstGeom>
                        </pic:spPr>
                      </pic:pic>
                    </a:graphicData>
                  </a:graphic>
                </wp:inline>
              </w:drawing>
            </w:r>
            <w:r>
              <w:rPr>
                <w:rFonts w:hint="eastAsia" w:ascii="仿宋_GB2312" w:eastAsiaTheme="minorEastAsia"/>
                <w:sz w:val="18"/>
                <w:szCs w:val="18"/>
                <w:lang w:eastAsia="zh-CN"/>
              </w:rPr>
              <w:drawing>
                <wp:inline distT="0" distB="0" distL="114300" distR="114300">
                  <wp:extent cx="4474845" cy="2684780"/>
                  <wp:effectExtent l="0" t="0" r="1905" b="1270"/>
                  <wp:docPr id="3" name="图片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
                          <pic:cNvPicPr>
                            <a:picLocks noChangeAspect="1"/>
                          </pic:cNvPicPr>
                        </pic:nvPicPr>
                        <pic:blipFill>
                          <a:blip r:embed="rId8"/>
                          <a:stretch>
                            <a:fillRect/>
                          </a:stretch>
                        </pic:blipFill>
                        <pic:spPr>
                          <a:xfrm>
                            <a:off x="0" y="0"/>
                            <a:ext cx="4474845" cy="2684780"/>
                          </a:xfrm>
                          <a:prstGeom prst="rect">
                            <a:avLst/>
                          </a:prstGeom>
                        </pic:spPr>
                      </pic:pic>
                    </a:graphicData>
                  </a:graphic>
                </wp:inline>
              </w:drawing>
            </w:r>
          </w:p>
          <w:p>
            <w:pPr>
              <w:numPr>
                <w:numId w:val="0"/>
              </w:numPr>
              <w:adjustRightInd w:val="0"/>
              <w:snapToGrid w:val="0"/>
              <w:spacing w:line="360" w:lineRule="auto"/>
              <w:jc w:val="left"/>
              <w:rPr>
                <w:rFonts w:hint="eastAsia" w:ascii="仿宋_GB2312" w:eastAsiaTheme="minorEastAsia"/>
                <w:sz w:val="18"/>
                <w:szCs w:val="18"/>
                <w:lang w:eastAsia="zh-CN"/>
              </w:rPr>
            </w:pPr>
            <w:r>
              <w:rPr>
                <w:rFonts w:hint="eastAsia" w:ascii="仿宋_GB2312" w:eastAsiaTheme="minorEastAsia"/>
                <w:sz w:val="18"/>
                <w:szCs w:val="18"/>
                <w:lang w:eastAsia="zh-CN"/>
              </w:rPr>
              <w:drawing>
                <wp:inline distT="0" distB="0" distL="114300" distR="114300">
                  <wp:extent cx="4474845" cy="2684780"/>
                  <wp:effectExtent l="0" t="0" r="1905" b="1270"/>
                  <wp:docPr id="4" name="图片 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
                          <pic:cNvPicPr>
                            <a:picLocks noChangeAspect="1"/>
                          </pic:cNvPicPr>
                        </pic:nvPicPr>
                        <pic:blipFill>
                          <a:blip r:embed="rId9"/>
                          <a:stretch>
                            <a:fillRect/>
                          </a:stretch>
                        </pic:blipFill>
                        <pic:spPr>
                          <a:xfrm>
                            <a:off x="0" y="0"/>
                            <a:ext cx="4474845" cy="268478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tcPr>
          <w:p>
            <w:pPr>
              <w:jc w:val="center"/>
              <w:rPr>
                <w:rFonts w:ascii="仿宋_GB2312" w:eastAsia="仿宋_GB2312"/>
              </w:rPr>
            </w:pPr>
            <w:r>
              <w:rPr>
                <w:rFonts w:hint="eastAsia" w:ascii="仿宋_GB2312" w:eastAsia="仿宋_GB2312"/>
              </w:rPr>
              <w:t>评</w:t>
            </w:r>
          </w:p>
          <w:p>
            <w:pPr>
              <w:jc w:val="center"/>
              <w:rPr>
                <w:rFonts w:ascii="仿宋_GB2312" w:eastAsia="仿宋_GB2312"/>
              </w:rPr>
            </w:pPr>
          </w:p>
          <w:p>
            <w:pPr>
              <w:jc w:val="center"/>
              <w:rPr>
                <w:rFonts w:ascii="仿宋_GB2312" w:eastAsiaTheme="minorEastAsia"/>
                <w:sz w:val="18"/>
              </w:rPr>
            </w:pPr>
            <w:r>
              <w:rPr>
                <w:rFonts w:hint="eastAsia" w:ascii="仿宋_GB2312" w:eastAsia="仿宋_GB2312"/>
              </w:rPr>
              <w:t>价</w:t>
            </w:r>
          </w:p>
        </w:tc>
        <w:tc>
          <w:tcPr>
            <w:tcW w:w="7268" w:type="dxa"/>
            <w:gridSpan w:val="5"/>
            <w:vAlign w:val="center"/>
          </w:tcPr>
          <w:p>
            <w:pPr>
              <w:ind w:firstLine="360" w:firstLineChars="200"/>
              <w:rPr>
                <w:rFonts w:ascii="仿宋_GB2312" w:eastAsia="仿宋_GB2312"/>
              </w:rPr>
            </w:pPr>
            <w:r>
              <w:rPr>
                <w:rFonts w:hint="eastAsia" w:ascii="仿宋_GB2312" w:eastAsiaTheme="minorEastAsia"/>
                <w:sz w:val="18"/>
                <w:szCs w:val="18"/>
              </w:rPr>
              <w:t>本次课题推进会的召开让表演课题组明确了本学期课题研究的方向和重点，理清了下一步工作开展的思路，将有力促进我园表演课题研究的扎实规范、高效高质量推进。</w:t>
            </w:r>
          </w:p>
        </w:tc>
      </w:tr>
    </w:tbl>
    <w:p>
      <w:pPr>
        <w:jc w:val="center"/>
        <w:rPr>
          <w:rFonts w:ascii="仿宋_GB2312" w:eastAsiaTheme="minorEastAsia"/>
          <w:sz w:val="24"/>
        </w:rPr>
      </w:pPr>
    </w:p>
    <w:p>
      <w:pPr>
        <w:jc w:val="center"/>
      </w:pPr>
      <w:r>
        <w:rPr>
          <w:rFonts w:hint="eastAsia" w:ascii="仿宋_GB2312" w:eastAsia="仿宋_GB2312"/>
          <w:sz w:val="24"/>
        </w:rPr>
        <w:t>填表人</w:t>
      </w:r>
      <w:r>
        <w:rPr>
          <w:rFonts w:hint="eastAsia" w:ascii="仿宋_GB2312" w:eastAsiaTheme="minorEastAsia"/>
          <w:sz w:val="24"/>
          <w:u w:val="single"/>
        </w:rPr>
        <w:t>徐银</w:t>
      </w:r>
    </w:p>
    <w:p/>
    <w:p/>
    <w:sectPr>
      <w:footerReference r:id="rId3" w:type="default"/>
      <w:footerReference r:id="rId4" w:type="even"/>
      <w:pgSz w:w="11907" w:h="16840"/>
      <w:pgMar w:top="1418" w:right="1701" w:bottom="1418" w:left="1701" w:header="851" w:footer="1304" w:gutter="0"/>
      <w:pgNumType w:fmt="numberInDash"/>
      <w:cols w:space="720" w:num="1"/>
      <w:docGrid w:type="lines" w:linePitch="579"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- 3 -</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- 2 -</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772625"/>
    <w:multiLevelType w:val="singleLevel"/>
    <w:tmpl w:val="AD772625"/>
    <w:lvl w:ilvl="0" w:tentative="0">
      <w:start w:val="1"/>
      <w:numFmt w:val="chineseCounting"/>
      <w:suff w:val="nothing"/>
      <w:lvlText w:val="%1、"/>
      <w:lvlJc w:val="left"/>
      <w:rPr>
        <w:rFonts w:hint="eastAsia"/>
      </w:rPr>
    </w:lvl>
  </w:abstractNum>
  <w:abstractNum w:abstractNumId="1">
    <w:nsid w:val="AFA81F74"/>
    <w:multiLevelType w:val="singleLevel"/>
    <w:tmpl w:val="AFA81F74"/>
    <w:lvl w:ilvl="0" w:tentative="0">
      <w:start w:val="1"/>
      <w:numFmt w:val="decimal"/>
      <w:lvlText w:val="%1."/>
      <w:lvlJc w:val="left"/>
      <w:pPr>
        <w:tabs>
          <w:tab w:val="left" w:pos="312"/>
        </w:tabs>
      </w:pPr>
    </w:lvl>
  </w:abstractNum>
  <w:abstractNum w:abstractNumId="2">
    <w:nsid w:val="CB58BE75"/>
    <w:multiLevelType w:val="singleLevel"/>
    <w:tmpl w:val="CB58BE75"/>
    <w:lvl w:ilvl="0" w:tentative="0">
      <w:start w:val="1"/>
      <w:numFmt w:val="chineseCounting"/>
      <w:suff w:val="nothing"/>
      <w:lvlText w:val="%1、"/>
      <w:lvlJc w:val="left"/>
      <w:rPr>
        <w:rFonts w:hint="eastAsia"/>
      </w:rPr>
    </w:lvl>
  </w:abstractNum>
  <w:abstractNum w:abstractNumId="3">
    <w:nsid w:val="E5742397"/>
    <w:multiLevelType w:val="singleLevel"/>
    <w:tmpl w:val="E5742397"/>
    <w:lvl w:ilvl="0" w:tentative="0">
      <w:start w:val="1"/>
      <w:numFmt w:val="decimal"/>
      <w:lvlText w:val="%1."/>
      <w:lvlJc w:val="left"/>
      <w:pPr>
        <w:tabs>
          <w:tab w:val="left" w:pos="312"/>
        </w:tabs>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IwZmJiYTg5ZTNkZWYwOTY1OWU3NTNkODViZTU0MzIifQ=="/>
  </w:docVars>
  <w:rsids>
    <w:rsidRoot w:val="007513AA"/>
    <w:rsid w:val="00053D26"/>
    <w:rsid w:val="00055628"/>
    <w:rsid w:val="00073265"/>
    <w:rsid w:val="00091344"/>
    <w:rsid w:val="000F5D98"/>
    <w:rsid w:val="00205097"/>
    <w:rsid w:val="0022515F"/>
    <w:rsid w:val="00274119"/>
    <w:rsid w:val="00282A5A"/>
    <w:rsid w:val="00284897"/>
    <w:rsid w:val="002E6D2A"/>
    <w:rsid w:val="00384980"/>
    <w:rsid w:val="003A4CE9"/>
    <w:rsid w:val="003D7866"/>
    <w:rsid w:val="00445B3C"/>
    <w:rsid w:val="00486D0A"/>
    <w:rsid w:val="00494FFB"/>
    <w:rsid w:val="004B28E7"/>
    <w:rsid w:val="004F650E"/>
    <w:rsid w:val="00523FAB"/>
    <w:rsid w:val="00577766"/>
    <w:rsid w:val="005F3D12"/>
    <w:rsid w:val="0063215B"/>
    <w:rsid w:val="006A43AB"/>
    <w:rsid w:val="0073507B"/>
    <w:rsid w:val="00745D26"/>
    <w:rsid w:val="007513AA"/>
    <w:rsid w:val="007B227F"/>
    <w:rsid w:val="007E3B41"/>
    <w:rsid w:val="00801619"/>
    <w:rsid w:val="00805F16"/>
    <w:rsid w:val="008B5DC9"/>
    <w:rsid w:val="008E63AA"/>
    <w:rsid w:val="008F5295"/>
    <w:rsid w:val="00907333"/>
    <w:rsid w:val="00956E49"/>
    <w:rsid w:val="00970EDB"/>
    <w:rsid w:val="0097338A"/>
    <w:rsid w:val="009A0883"/>
    <w:rsid w:val="00A76646"/>
    <w:rsid w:val="00AA0C3A"/>
    <w:rsid w:val="00AD2B9A"/>
    <w:rsid w:val="00B42A6B"/>
    <w:rsid w:val="00B62C78"/>
    <w:rsid w:val="00B97973"/>
    <w:rsid w:val="00BA7F32"/>
    <w:rsid w:val="00C1079D"/>
    <w:rsid w:val="00C7630B"/>
    <w:rsid w:val="00D16B80"/>
    <w:rsid w:val="00D965D4"/>
    <w:rsid w:val="00DD5114"/>
    <w:rsid w:val="00DE3342"/>
    <w:rsid w:val="00E135E7"/>
    <w:rsid w:val="00E2642D"/>
    <w:rsid w:val="00E41209"/>
    <w:rsid w:val="00E457E3"/>
    <w:rsid w:val="00ED41AB"/>
    <w:rsid w:val="00F53B2A"/>
    <w:rsid w:val="00F909CA"/>
    <w:rsid w:val="00FE31AC"/>
    <w:rsid w:val="01FA47FF"/>
    <w:rsid w:val="07BE62CF"/>
    <w:rsid w:val="09D31AFD"/>
    <w:rsid w:val="0B9A670B"/>
    <w:rsid w:val="0D611BD6"/>
    <w:rsid w:val="0D690A8B"/>
    <w:rsid w:val="13BA2040"/>
    <w:rsid w:val="14276532"/>
    <w:rsid w:val="1763479D"/>
    <w:rsid w:val="19520625"/>
    <w:rsid w:val="1A7647E7"/>
    <w:rsid w:val="1C521D2A"/>
    <w:rsid w:val="20931E04"/>
    <w:rsid w:val="21723F5A"/>
    <w:rsid w:val="249A7E57"/>
    <w:rsid w:val="24C34ACD"/>
    <w:rsid w:val="257C53A7"/>
    <w:rsid w:val="25FF7D86"/>
    <w:rsid w:val="26847331"/>
    <w:rsid w:val="29842A7C"/>
    <w:rsid w:val="2B0F45C8"/>
    <w:rsid w:val="2BC52E78"/>
    <w:rsid w:val="2E156BE6"/>
    <w:rsid w:val="2F857635"/>
    <w:rsid w:val="30F46739"/>
    <w:rsid w:val="368D08F2"/>
    <w:rsid w:val="3BC431AC"/>
    <w:rsid w:val="3CBE19AA"/>
    <w:rsid w:val="3FE71217"/>
    <w:rsid w:val="442353D0"/>
    <w:rsid w:val="443D58AA"/>
    <w:rsid w:val="47D06A35"/>
    <w:rsid w:val="48636D61"/>
    <w:rsid w:val="4B007631"/>
    <w:rsid w:val="4BD96800"/>
    <w:rsid w:val="519B6306"/>
    <w:rsid w:val="5A985AD8"/>
    <w:rsid w:val="5F463831"/>
    <w:rsid w:val="61C251E9"/>
    <w:rsid w:val="62682234"/>
    <w:rsid w:val="63F41FD1"/>
    <w:rsid w:val="64061D04"/>
    <w:rsid w:val="65827169"/>
    <w:rsid w:val="65F406DC"/>
    <w:rsid w:val="65FF4C5D"/>
    <w:rsid w:val="66326DE1"/>
    <w:rsid w:val="665B6338"/>
    <w:rsid w:val="691C246D"/>
    <w:rsid w:val="699F478D"/>
    <w:rsid w:val="6CEF1588"/>
    <w:rsid w:val="6E4A2D7F"/>
    <w:rsid w:val="707C3C57"/>
    <w:rsid w:val="71125845"/>
    <w:rsid w:val="71D47B19"/>
    <w:rsid w:val="76160578"/>
    <w:rsid w:val="77352F5C"/>
    <w:rsid w:val="77A25449"/>
    <w:rsid w:val="77D777E8"/>
    <w:rsid w:val="78F9378E"/>
    <w:rsid w:val="7AF7522F"/>
    <w:rsid w:val="7C350EE2"/>
    <w:rsid w:val="7C773191"/>
    <w:rsid w:val="7CEA1D6C"/>
    <w:rsid w:val="7E2F15A5"/>
    <w:rsid w:val="7E303A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autoRedefine/>
    <w:qFormat/>
    <w:uiPriority w:val="0"/>
    <w:pPr>
      <w:tabs>
        <w:tab w:val="center" w:pos="4153"/>
        <w:tab w:val="right" w:pos="8306"/>
      </w:tabs>
      <w:snapToGrid w:val="0"/>
      <w:jc w:val="left"/>
    </w:pPr>
    <w:rPr>
      <w:sz w:val="18"/>
    </w:rPr>
  </w:style>
  <w:style w:type="paragraph" w:styleId="3">
    <w:name w:val="header"/>
    <w:basedOn w:val="1"/>
    <w:link w:val="10"/>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autoRedefine/>
    <w:qFormat/>
    <w:uiPriority w:val="0"/>
    <w:rPr>
      <w:rFonts w:ascii="黑体" w:hAnsi="Verdana" w:eastAsia="黑体"/>
      <w:b/>
      <w:kern w:val="0"/>
      <w:sz w:val="36"/>
      <w:szCs w:val="36"/>
    </w:rPr>
  </w:style>
  <w:style w:type="paragraph" w:customStyle="1" w:styleId="8">
    <w:name w:val="Char Char Char Char Char Char"/>
    <w:basedOn w:val="1"/>
    <w:autoRedefine/>
    <w:qFormat/>
    <w:uiPriority w:val="0"/>
    <w:pPr>
      <w:widowControl/>
      <w:spacing w:after="160" w:line="240" w:lineRule="exact"/>
      <w:ind w:firstLine="602" w:firstLineChars="250"/>
      <w:jc w:val="center"/>
    </w:pPr>
    <w:rPr>
      <w:rFonts w:ascii="黑体" w:hAnsi="Verdana" w:eastAsia="黑体"/>
      <w:b/>
      <w:kern w:val="0"/>
      <w:sz w:val="36"/>
      <w:szCs w:val="36"/>
    </w:rPr>
  </w:style>
  <w:style w:type="character" w:customStyle="1" w:styleId="9">
    <w:name w:val="页脚 Char"/>
    <w:basedOn w:val="6"/>
    <w:link w:val="2"/>
    <w:autoRedefine/>
    <w:qFormat/>
    <w:uiPriority w:val="0"/>
    <w:rPr>
      <w:rFonts w:ascii="Times New Roman" w:hAnsi="Times New Roman" w:eastAsia="宋体" w:cs="Times New Roman"/>
      <w:sz w:val="18"/>
      <w:szCs w:val="24"/>
    </w:rPr>
  </w:style>
  <w:style w:type="character" w:customStyle="1" w:styleId="10">
    <w:name w:val="页眉 Char"/>
    <w:basedOn w:val="6"/>
    <w:link w:val="3"/>
    <w:autoRedefine/>
    <w:semiHidden/>
    <w:qFormat/>
    <w:uiPriority w:val="99"/>
    <w:rPr>
      <w:rFonts w:ascii="Times New Roman" w:hAnsi="Times New Roman" w:eastAsia="宋体" w:cs="Times New Roman"/>
      <w:sz w:val="18"/>
      <w:szCs w:val="18"/>
    </w:rPr>
  </w:style>
  <w:style w:type="paragraph" w:styleId="1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360</Words>
  <Characters>2052</Characters>
  <Lines>17</Lines>
  <Paragraphs>4</Paragraphs>
  <TotalTime>8</TotalTime>
  <ScaleCrop>false</ScaleCrop>
  <LinksUpToDate>false</LinksUpToDate>
  <CharactersWithSpaces>2408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2022-02-18T02:01:00Z</dcterms:created>
  <dc:creator>USER</dc:creator>
  <cp:lastModifiedBy>同同1385467072</cp:lastModifiedBy>
  <dcterms:modified xsi:type="dcterms:W3CDTF">2024-03-13T05:17:58Z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F11E6E453BB84E709F6C3603DDEFE973_12</vt:lpwstr>
  </property>
</Properties>
</file>