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《比的意义》教学反思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吴菊芬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在数学教学中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实质上是对两个数量进行比较，表示两个数量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间的倍比关系。任何相关的两个数量的比都可以抽象为两个数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量之间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的比。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在整数中求一个数是另一个数的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多少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倍，在分数中求一个数是另一个数的几分之几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也可以看做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一个数和另一个数的比，求一个数是另一个数的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多少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倍或几分之几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在教学中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都是用除法计算的，所以通常把两个数相除叫做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两个数的比。因此，我们在教学中要加强比与分数、除法关系的教学，这样不仅帮助学生建立比的概念，加强对比的意义的理解，而且为后面分数应用题教学打下扎实的基础。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 在教学中，我是从这几个方面入手的：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1、  看条件，想问题，展开合理的联想。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看到一个条件，如果告诉一个数与另一个数的比或一个数是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另一个数的几倍或几分之几，你就应该想到这两个数之间的其他关系。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仓库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大米是面粉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的 1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2 倍，就应该想到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大米吨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面粉吨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数的比是 6 ： 5 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大米吨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是面粉吨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数的的六分之五，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大米吨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比面粉吨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数的少六分之一，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大米吨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总吨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数的十一分之六。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6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又如：一项工程，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师傅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独做要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天完成，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徒弟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独做要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天完成，就应该想到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师傅徒弟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工作时间的比是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，工作效率的比是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师傅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的工作效率比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徒弟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分之一。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2、  加强训练，促进学生思维的灵活性，敏捷性。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通过 基本训练，强化学生对比与分数、除法之间关系的熟练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理解和掌握，训练学生思维的灵活性、敏捷性，提高分析问题、解决问题的能力。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例如：（ 1 ）甲是乙的四分之三，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则甲与乙的比是（      ），乙除以甲商是（        ），甲是甲乙之和的（      ），乙比甲少（        ），甲比乙多（       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（ 2 ）一本书已看 76 页，还有 44 页没看，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则已看的与没看的比是（       ），没看的是已看的（      ），已看的比没看的多（     ），没看的比已看的少这本书的（    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（ 3 ） A ÷ B=0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.6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       则 A 与 B 的比是（     ）， B 是 A 的（      ）， A 比 B 少（     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3、  通过转化，化难为易，构建新旧知识的纽带。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转化是一种很重要的思想方法，通过转化可以把新知转化成旧知，根据旧知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来解决新知，帮助我们学习新知识，解决新问题。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       例如：一本书，已读的页数是没有读的四分之三，已读的页数是这本书的几分之几？ 根据条件 “已读的页数是没有读的四分之三”，说明已读的页数是 3 份，没有读的页数是 4 份，这本书的总页数共有 7 份，所以已读的是这本书的七分之三，也可以把没有读的页数看作单位“ 1 ”，没有读的是四分之三，这本书共有一又四分之三，所一已读的是这本书的七分之三。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        又如：甲乙两人各有人民币若干元，甲对乙说： “如果你给我 100 元前，那我的钱就是你的 2 倍。”乙对甲说：“如果你给我 10 元，那我的钱就是你的 6 倍。”问甲乙两人原来各有人民币多少元？若用整数方法来解答就比较困难，如分数的方法来解决就比较简单，当乙给甲 100 元后，甲的钱就是两人总钱数的三分之二，当甲给乙 10 元后，甲的钱就是两人总钱数的七分之一，而甲的钱，先后相差（ 100+10 ） =110 元，对应分率三分之二与七分之一的差，从而可以求出甲乙两人的人民币总和，再求出甲乙两人原来各有人民币多少元。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TE1YjkwNTgxMDY2NzZmZGVmOGQxNzI2NzQxZTEifQ=="/>
  </w:docVars>
  <w:rsids>
    <w:rsidRoot w:val="52FC33A5"/>
    <w:rsid w:val="10655CF3"/>
    <w:rsid w:val="28FD0074"/>
    <w:rsid w:val="52FC33A5"/>
    <w:rsid w:val="72567B5E"/>
    <w:rsid w:val="7F8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2023-11-22T04:24:00Z</dcterms:created>
  <dc:creator>今日缘</dc:creator>
  <cp:lastModifiedBy>今日缘</cp:lastModifiedBy>
  <dcterms:modified xsi:type="dcterms:W3CDTF">2023-11-22T07:01:42Z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F6A6ECF551B44C46AE0D682D0DCC0368_11</vt:lpwstr>
  </property>
</Properties>
</file>