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《周亚夫军细柳》第二课时教学设计</w:t>
      </w:r>
    </w:p>
    <w:p>
      <w:pPr>
        <w:jc w:val="center"/>
        <w:rPr>
          <w:rFonts w:hint="default" w:ascii="宋体" w:hAnsi="宋体" w:eastAsia="宋体" w:cs="宋体"/>
          <w:b/>
          <w:bCs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  <w:t>史曌益</w:t>
      </w:r>
    </w:p>
    <w:p>
      <w:pP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学习目标：</w:t>
      </w:r>
    </w:p>
    <w:p>
      <w:pPr>
        <w:rPr>
          <w:rFonts w:hint="default" w:ascii="宋体" w:hAnsi="宋体" w:eastAsia="宋体" w:cs="宋体"/>
          <w:b w:val="0"/>
          <w:bCs w:val="0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8"/>
          <w:highlight w:val="none"/>
          <w:lang w:val="en-US" w:eastAsia="zh-CN"/>
        </w:rPr>
        <w:t>1.通过回顾复述要点，巩固复述的方法技巧，自主复述课文所记述的事件；</w:t>
      </w:r>
    </w:p>
    <w:p>
      <w:pPr>
        <w:rPr>
          <w:rFonts w:hint="default" w:ascii="宋体" w:hAnsi="宋体" w:eastAsia="宋体" w:cs="宋体"/>
          <w:b w:val="0"/>
          <w:bCs w:val="0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8"/>
          <w:highlight w:val="none"/>
          <w:lang w:val="en-US" w:eastAsia="zh-CN"/>
        </w:rPr>
        <w:t>2.通过采访细柳军军士等小组活动，分析归纳周亚夫和汉文帝的人物形象；</w:t>
      </w:r>
    </w:p>
    <w:p>
      <w:pPr>
        <w:rPr>
          <w:rFonts w:hint="default" w:ascii="宋体" w:hAnsi="宋体" w:eastAsia="宋体" w:cs="宋体"/>
          <w:b w:val="0"/>
          <w:bCs w:val="0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8"/>
          <w:highlight w:val="none"/>
          <w:lang w:val="en-US" w:eastAsia="zh-CN"/>
        </w:rPr>
        <w:t>3.通过讨论配角人物的作用，学会运用对比、衬托、侧面描写等写作方法。</w:t>
      </w:r>
    </w:p>
    <w:p>
      <w:pPr>
        <w:rPr>
          <w:rFonts w:hint="default" w:ascii="宋体" w:hAnsi="宋体" w:eastAsia="宋体" w:cs="宋体"/>
          <w:b w:val="0"/>
          <w:bCs w:val="0"/>
          <w:sz w:val="22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b w:val="0"/>
          <w:bCs w:val="0"/>
          <w:sz w:val="22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情境创设：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上课前请各小组派代表抽取角色卡，每一小组代表一类人（细柳军士两组；霸上、棘门军军士；周亚夫剧组）。上节课我们穿越时空进入太史公所著《史记》中的《绛侯周勃世家》一文中，花费了一节课时间，我们终于疏通了文本内容。这节课就要请同学们结合课文一同来还原历史，还原历史人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任务一：个人抢答，复习回顾字词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default" w:ascii="宋体" w:hAnsi="宋体" w:eastAsia="宋体" w:cs="宋体"/>
          <w:lang w:val="en-US" w:eastAsia="zh-CN"/>
        </w:rPr>
        <w:t>重点词语句翻译复习</w:t>
      </w:r>
      <w:r>
        <w:rPr>
          <w:rFonts w:hint="eastAsia" w:ascii="宋体" w:hAnsi="宋体" w:eastAsia="宋体" w:cs="宋体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default" w:ascii="宋体" w:hAnsi="宋体" w:eastAsia="宋体" w:cs="宋体"/>
          <w:lang w:val="en-US" w:eastAsia="zh-CN"/>
        </w:rPr>
        <w:t>军士吏被甲：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（2）</w:t>
      </w:r>
      <w:r>
        <w:rPr>
          <w:rFonts w:hint="default" w:ascii="宋体" w:hAnsi="宋体" w:eastAsia="宋体" w:cs="宋体"/>
          <w:lang w:val="en-US" w:eastAsia="zh-CN"/>
        </w:rPr>
        <w:t>改容式车：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（3）使：①于是上乃使使持节诏将军：           ②使人称谢：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（4）军：①军细柳：          ②上自劳军：          ③至霸上及棘门军：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r>
        <w:rPr>
          <w:rFonts w:hint="default" w:ascii="宋体" w:hAnsi="宋体" w:eastAsia="宋体" w:cs="宋体"/>
          <w:lang w:val="en-US" w:eastAsia="zh-CN"/>
        </w:rPr>
        <w:t>重点词语句翻译复习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default" w:ascii="宋体" w:hAnsi="宋体" w:eastAsia="宋体" w:cs="宋体"/>
          <w:lang w:val="en-US" w:eastAsia="zh-CN"/>
        </w:rPr>
        <w:t>至霸上及棘门军，直驰入，将以下骑送迎。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（2）军士吏被甲，锐兵刃，彀弓弩，持满。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（3）曩者霸上、棘门军，若儿戏耳，其将固可袭而虏也。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任务二：朗读课文，还原历史事件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1.结合书129页口语交际回顾复述事件注意事项：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预设：（1）记叙文六要素（2）适当进行概括（3）语言表达要准确、简明、连贯。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2.结合注意事项复述本次事件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设：在匈奴大举入侵的背景下，汉文帝亲自到霸上、棘门、细柳三处军营劳军。在霸上和棘门，文帝可以纵马奔驰，军营将士也极为恭敬。而在细柳营，文帝则被要求处处遵循军令：无将军之令不开营门，军中不得驱驰只能徐行，劳军也要严格遵守军礼。文帝出营门，称赞周亚夫为“真将军”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任务三：读演结合，还原历史人物：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（一）出身郡守的周亚夫何以从三位将军中脱颖而出，被汉文帝称为“真将军”？请不同的小组根据要求从自己的立场回答。小组讨论完善各组的答案，准备成果展示。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1.细柳军军士接受采访：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（1）你们平时都如何守营的？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预设：军士吏被甲，锐兵刃，彀弓弩，持满。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（2）天子先驱来的时候你们如何迎接的？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预设：天子先驱至，不得入。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追问：为什么不让他进？你们不知道他是天子先驱吗？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预设：将军令曰：“军中闻将军令，不闻天子之诏。”</w:t>
      </w:r>
    </w:p>
    <w:p>
      <w:pPr>
        <w:widowControl w:val="0"/>
        <w:numPr>
          <w:ilvl w:val="0"/>
          <w:numId w:val="1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天子亲至你们如何迎接的？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预设：不得入。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追问：你们不知道那是皇帝吗？怎么敢这么干的？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预设：将军令曰：“军中闻将军令，不闻天子之诏。”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你们是如何接待皇帝的？有没有赶紧让皇帝驾车去寻将军？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预设：壁门士吏谓从属车骑曰：“将军约，军中不得驱驰。”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小结：强将无弱兵，细柳军军纪严明、令行禁止、庄重严肃。从侧面反映周亚夫治军有方、恪尽职守。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2.霸上、棘门的军士思考为什么自己军营的将军算不得“真将军”：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预设：霸上及棘门军，直驰入，将以下骑送迎。相比细柳军的严肃紧张、纪律严明，略显松散，不够庄重。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小结：三军对比，突出细柳军的常备不懈、严阵以待、训练有素，反映周亚夫治军有方。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3.请周亚夫小组通过表演，还原与天子见面的场景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重点讲解“揖”和“拜”的区别，（由学生代表带领学生演绎两个动作）体会这其中的周亚夫之“真”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小结：动作描写、语言描写，突出周亚夫刚正不阿、恪守军礼、不卑不亢。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总结：由此可见，周亚夫是一个治军有方、恪尽职守、刚正不阿、恪守军礼的“真将军”。这样纪律严明、令行禁止的军队才是抵御匈奴需要的“真”守卫之军。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widowControl w:val="0"/>
        <w:numPr>
          <w:ilvl w:val="0"/>
          <w:numId w:val="2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周亚夫为何敢这么“真”？结合文中句子回答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预设：上乃使使持节.....（归纳一词多义“使”）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于是天子乃按辔徐行。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天子为动，改容式车。使人称谢：“皇帝敬劳将军。”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文帝曰：“嗟乎，此真将军矣！曩者霸上、棘门军，若儿戏耳，其将固可袭而虏也。至于亚夫，可得而犯邪！”称善者久之。（提醒翻译“曩者霸上、棘门军，若儿戏耳，其将固可袭而虏也。至于亚夫，可得而犯邪！”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小结：天子深明大义，礼贤下士，知人善任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过渡：正是有这样的“真”天子才能使得周亚夫这样的“真”将军得以施展才能，才能出现历史上有名的“文景之治”，为后来的汉武帝征伐匈奴养精蓄锐，也为后来的贞观之治、康乾盛世起到了借鉴作用。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任务四：对比衬托，还原写人艺术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1.皇帝劳军还带了群臣，他们看到了细柳军的情况有何感受？（惊）请同学们自由选择群臣的派系，思考自己会感到“惊___”？为什么？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预设：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佞臣：感到惊恐，因为皇帝如此深明大义，自己恐怕无利可图了。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贤臣：（1）感到惊讶，因为周亚夫如此怠慢皇帝，皇帝也没有发怒。</w:t>
      </w:r>
    </w:p>
    <w:p>
      <w:pPr>
        <w:widowControl w:val="0"/>
        <w:numPr>
          <w:ilvl w:val="0"/>
          <w:numId w:val="3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感到惊喜，因为有周亚夫这样的将军在，国家一定会更加强盛。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2.这篇文章作者为何要记录群臣的反应？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预设：从侧面衬托周亚夫的治军有方、恪尽职守、刚正不阿、恪守军礼，皇帝的深明大义，礼贤下士，善用人才，使人物形象更加生动突出，使叙事更加真实。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3.本文为了让人物形象更加生动突出除了运用衬托还运用了什么方法？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预设：正面描写与侧面描写相结合、对比。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思考探究二：李长之说，《史记》写人，时常“用两种突出的性格或两种不同的情势，抑或两种不同的结果，作为对照。”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本文既有天子入军营的两种情势之对照，又有刘礼、徐厉两位将军与周亚夫的性格之对照，更有天子劳军后评价的结果之对照，才使得本文的人物性格突出，性格生动。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小结：本文将正面描写与侧面描写相结合，通过对比、衬托的手法来刻画人物形象。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4.书本145页还有很多对《史记》的评价，同学们结合本文思考《史记》给我们的写作哪些启发？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译文补充：刘向、杨雄博览群书之辈，都称赞司马迁有记载史事的才华，佩服他擅长讲述事情的道理，不用华丽的词藻去说明，道理质朴却不粗俗，他的文章直白，所记载的事件经得起核实，不凭空加以赞赏，也不掩饰过错，因此叫做实录。——班固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预设：写人记事除了运用正面描写，还可以运用侧面描写、对比、衬托，叙事要真实可靠。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课后作业：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1.《史记》长于记人，阅读学案中给出的文段，再次感受《史记》的写人艺术。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2.用今天学到的写人记事的方法，写一写自己身边同学身上的特点。（300字左右）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《周亚夫军细柳》教学反思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虽然这篇课文是自读课文，却是一篇篇幅较长的文言文，文言知识内容比较多，所以我先花了一节课时间梳理本文的文言知识，让学生借助工具书及页下注释初步了解本文的内容，在此基础上再去分析课文，就会事半功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二课时虽是探究文言课文内容，但文言知识仍不可忽视。为了更好地与上节课衔接，也为了更好巩固学生对文言知识的学习，第二课时的第一个环节设置了复习回顾文言知识，并通过抢答的方式调动课堂，激发学生学习的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第五单元口语交际我们学过复述，且复述是学习长篇记叙文常用的基础方法，但是学生掌握得不好，所以这节课我在回顾复述要点的基础上，让学生复述了课文内容，既复习了复述的内容，又切入了本节课的基础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接下来我通过三个不同的任务，让学生从不同的角度解读周亚夫的人物形象。再由“周亚夫为什么敢这么真”引出对汉文帝人物形象的分析。最后由群臣的反应及写群臣的作用，总结本文的写技巧，由阅读转向学生的写作启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最后作业部分给予学生一个片段，让学生再次感受《史记》写人的技巧，再让学生学以致用。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这节课给学生的时间较多，老师主要起到的是引导和指导的作用，让学生在任务的引导下自主探索。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这节课的也让我知道任务的设置不能忽视学生的参差，关注到每一个学生，让学生都能参与到课堂上来才是一个好的课堂，这样才能够更好地激发学生学习语文兴趣，让学生在语文的课堂上感受语文的魅力。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397E39"/>
    <w:multiLevelType w:val="singleLevel"/>
    <w:tmpl w:val="8A397E3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ADB8441"/>
    <w:multiLevelType w:val="singleLevel"/>
    <w:tmpl w:val="BADB8441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227C3403"/>
    <w:multiLevelType w:val="singleLevel"/>
    <w:tmpl w:val="227C3403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NGNlMjE3NmMyMzlkNGFmNzY0ZGZlYWE0NGIxNmYifQ=="/>
  </w:docVars>
  <w:rsids>
    <w:rsidRoot w:val="55474511"/>
    <w:rsid w:val="051E71A1"/>
    <w:rsid w:val="0E3E7126"/>
    <w:rsid w:val="2B9A6BC6"/>
    <w:rsid w:val="2CE347DA"/>
    <w:rsid w:val="319C07D8"/>
    <w:rsid w:val="32843DF1"/>
    <w:rsid w:val="32A574E9"/>
    <w:rsid w:val="49551C16"/>
    <w:rsid w:val="55474511"/>
    <w:rsid w:val="61F56501"/>
    <w:rsid w:val="77447586"/>
    <w:rsid w:val="79BA6560"/>
    <w:rsid w:val="7D9903CF"/>
    <w:rsid w:val="7F8E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2024-02-02T01:54:00Z</dcterms:created>
  <dc:creator>轩</dc:creator>
  <cp:lastModifiedBy>轩</cp:lastModifiedBy>
  <dcterms:modified xsi:type="dcterms:W3CDTF">2024-02-02T02:17:37Z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DDB58BF53C4C41AEBC64A90E332C3C22_11</vt:lpwstr>
  </property>
</Properties>
</file>