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王洮洮</w:t>
            </w:r>
            <w:bookmarkStart w:id="0" w:name="_GoBack"/>
            <w:bookmarkEnd w:id="0"/>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一体</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E6B21D1"/>
    <w:rsid w:val="12F22D14"/>
    <w:rsid w:val="18C773B2"/>
    <w:rsid w:val="18D751C4"/>
    <w:rsid w:val="1F0E1CAE"/>
    <w:rsid w:val="2141581D"/>
    <w:rsid w:val="25B06DDA"/>
    <w:rsid w:val="28163014"/>
    <w:rsid w:val="29E327E0"/>
    <w:rsid w:val="2A6204F3"/>
    <w:rsid w:val="2CC65FD1"/>
    <w:rsid w:val="319139CF"/>
    <w:rsid w:val="31B7469D"/>
    <w:rsid w:val="33AA2767"/>
    <w:rsid w:val="39A56E40"/>
    <w:rsid w:val="47BE28FF"/>
    <w:rsid w:val="4D125095"/>
    <w:rsid w:val="595B30AB"/>
    <w:rsid w:val="5FD875D1"/>
    <w:rsid w:val="60A4619F"/>
    <w:rsid w:val="63823D85"/>
    <w:rsid w:val="652B5DA0"/>
    <w:rsid w:val="66510A6B"/>
    <w:rsid w:val="6BD85110"/>
    <w:rsid w:val="6DBE47AD"/>
    <w:rsid w:val="745F5922"/>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2021-04-28T08:32:19Z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01536D288488426C85D27E0CC4A7A3AE</vt:lpwstr>
  </property>
</Properties>
</file>