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90" w:lineRule="atLeast"/>
        <w:ind w:left="150" w:right="90" w:firstLine="2310"/>
        <w:rPr>
          <w:rFonts w:ascii="宋体" w:hAnsi="宋体" w:eastAsia="宋体" w:cs="宋体"/>
          <w:i w:val="0"/>
          <w:caps w:val="0"/>
          <w:color w:val="333333"/>
          <w:spacing w:val="15"/>
          <w:sz w:val="21"/>
          <w:szCs w:val="21"/>
        </w:rPr>
      </w:pPr>
      <w:r>
        <w:rPr>
          <w:rFonts w:ascii="微软雅黑" w:hAnsi="微软雅黑" w:eastAsia="微软雅黑" w:cs="微软雅黑"/>
          <w:i w:val="0"/>
          <w:caps w:val="0"/>
          <w:color w:val="000000"/>
          <w:spacing w:val="15"/>
          <w:sz w:val="30"/>
          <w:szCs w:val="30"/>
          <w:shd w:val="clear" w:fill="FFFFFF"/>
        </w:rPr>
        <w:t>读书交流（</w:t>
      </w:r>
      <w:r>
        <w:rPr>
          <w:rFonts w:hint="eastAsia" w:ascii="微软雅黑" w:hAnsi="微软雅黑" w:eastAsia="微软雅黑" w:cs="微软雅黑"/>
          <w:i w:val="0"/>
          <w:caps w:val="0"/>
          <w:color w:val="000000"/>
          <w:spacing w:val="15"/>
          <w:sz w:val="30"/>
          <w:szCs w:val="30"/>
          <w:shd w:val="clear" w:fill="FFFFFF"/>
          <w:lang w:eastAsia="zh-CN"/>
        </w:rPr>
        <w:t>卞丽霞</w:t>
      </w:r>
      <w:r>
        <w:rPr>
          <w:rFonts w:hint="eastAsia" w:ascii="微软雅黑" w:hAnsi="微软雅黑" w:eastAsia="微软雅黑" w:cs="微软雅黑"/>
          <w:i w:val="0"/>
          <w:caps w:val="0"/>
          <w:color w:val="000000"/>
          <w:spacing w:val="15"/>
          <w:sz w:val="30"/>
          <w:szCs w:val="30"/>
          <w:shd w:val="clear" w:fill="FFFFFF"/>
        </w:rPr>
        <w:t>）</w:t>
      </w:r>
    </w:p>
    <w:tbl>
      <w:tblPr>
        <w:tblStyle w:val="3"/>
        <w:tblW w:w="84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185"/>
        <w:gridCol w:w="1080"/>
        <w:gridCol w:w="1980"/>
        <w:gridCol w:w="1440"/>
        <w:gridCol w:w="144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trPr>
        <w:tc>
          <w:tcPr>
            <w:tcW w:w="11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sz w:val="21"/>
                <w:szCs w:val="21"/>
              </w:rPr>
            </w:pPr>
            <w:r>
              <w:rPr>
                <w:rStyle w:val="5"/>
                <w:rFonts w:hint="eastAsia" w:ascii="宋体" w:hAnsi="宋体" w:eastAsia="宋体" w:cs="宋体"/>
                <w:b/>
                <w:i w:val="0"/>
                <w:caps w:val="0"/>
                <w:color w:val="000000"/>
                <w:spacing w:val="15"/>
                <w:sz w:val="24"/>
                <w:szCs w:val="24"/>
              </w:rPr>
              <w:t>学习者</w:t>
            </w:r>
          </w:p>
        </w:tc>
        <w:tc>
          <w:tcPr>
            <w:tcW w:w="10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sz w:val="21"/>
                <w:szCs w:val="21"/>
                <w:lang w:eastAsia="zh-CN"/>
              </w:rPr>
            </w:pPr>
            <w:r>
              <w:rPr>
                <w:rFonts w:hint="eastAsia" w:ascii="宋体" w:hAnsi="宋体" w:eastAsia="宋体" w:cs="宋体"/>
                <w:i w:val="0"/>
                <w:caps w:val="0"/>
                <w:color w:val="000000"/>
                <w:spacing w:val="15"/>
                <w:sz w:val="24"/>
                <w:szCs w:val="24"/>
                <w:shd w:val="clear" w:fill="FFFFFF"/>
                <w:lang w:eastAsia="zh-CN"/>
              </w:rPr>
              <w:t>卞丽霞</w:t>
            </w:r>
          </w:p>
        </w:tc>
        <w:tc>
          <w:tcPr>
            <w:tcW w:w="19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sz w:val="21"/>
                <w:szCs w:val="21"/>
              </w:rPr>
            </w:pPr>
            <w:r>
              <w:rPr>
                <w:rStyle w:val="5"/>
                <w:rFonts w:hint="eastAsia" w:ascii="宋体" w:hAnsi="宋体" w:eastAsia="宋体" w:cs="宋体"/>
                <w:b/>
                <w:i w:val="0"/>
                <w:caps w:val="0"/>
                <w:color w:val="000000"/>
                <w:spacing w:val="15"/>
                <w:sz w:val="24"/>
                <w:szCs w:val="24"/>
              </w:rPr>
              <w:t>任教年级、学科</w:t>
            </w:r>
          </w:p>
        </w:tc>
        <w:tc>
          <w:tcPr>
            <w:tcW w:w="14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sz w:val="21"/>
                <w:szCs w:val="21"/>
                <w:lang w:eastAsia="zh-CN"/>
              </w:rPr>
            </w:pPr>
            <w:r>
              <w:rPr>
                <w:rStyle w:val="5"/>
                <w:rFonts w:hint="eastAsia" w:ascii="宋体" w:hAnsi="宋体" w:eastAsia="宋体" w:cs="宋体"/>
                <w:b/>
                <w:i w:val="0"/>
                <w:caps w:val="0"/>
                <w:color w:val="000000"/>
                <w:spacing w:val="15"/>
                <w:sz w:val="24"/>
                <w:szCs w:val="24"/>
                <w:lang w:eastAsia="zh-CN"/>
              </w:rPr>
              <w:t>六英</w:t>
            </w:r>
          </w:p>
        </w:tc>
        <w:tc>
          <w:tcPr>
            <w:tcW w:w="14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sz w:val="21"/>
                <w:szCs w:val="21"/>
              </w:rPr>
            </w:pPr>
            <w:r>
              <w:rPr>
                <w:rStyle w:val="5"/>
                <w:rFonts w:hint="eastAsia" w:ascii="宋体" w:hAnsi="宋体" w:eastAsia="宋体" w:cs="宋体"/>
                <w:b/>
                <w:i w:val="0"/>
                <w:caps w:val="0"/>
                <w:color w:val="000000"/>
                <w:spacing w:val="15"/>
                <w:sz w:val="24"/>
                <w:szCs w:val="24"/>
              </w:rPr>
              <w:t>学习时间</w:t>
            </w:r>
          </w:p>
        </w:tc>
        <w:tc>
          <w:tcPr>
            <w:tcW w:w="13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sz w:val="21"/>
                <w:szCs w:val="21"/>
                <w:lang w:val="en-US"/>
              </w:rPr>
            </w:pPr>
            <w:r>
              <w:rPr>
                <w:rStyle w:val="5"/>
                <w:rFonts w:hint="eastAsia" w:ascii="宋体" w:hAnsi="宋体" w:eastAsia="宋体" w:cs="宋体"/>
                <w:b/>
                <w:i w:val="0"/>
                <w:caps w:val="0"/>
                <w:color w:val="000000"/>
                <w:spacing w:val="15"/>
                <w:sz w:val="24"/>
                <w:szCs w:val="24"/>
              </w:rPr>
              <w:t>20</w:t>
            </w:r>
            <w:r>
              <w:rPr>
                <w:rStyle w:val="5"/>
                <w:rFonts w:hint="eastAsia" w:ascii="宋体" w:hAnsi="宋体" w:eastAsia="宋体" w:cs="宋体"/>
                <w:b/>
                <w:i w:val="0"/>
                <w:caps w:val="0"/>
                <w:color w:val="000000"/>
                <w:spacing w:val="15"/>
                <w:sz w:val="24"/>
                <w:szCs w:val="24"/>
                <w:lang w:val="en-US" w:eastAsia="zh-CN"/>
              </w:rPr>
              <w:t>21</w:t>
            </w:r>
            <w:r>
              <w:rPr>
                <w:rStyle w:val="5"/>
                <w:rFonts w:hint="eastAsia" w:ascii="宋体" w:hAnsi="宋体" w:eastAsia="宋体" w:cs="宋体"/>
                <w:b/>
                <w:i w:val="0"/>
                <w:caps w:val="0"/>
                <w:color w:val="000000"/>
                <w:spacing w:val="15"/>
                <w:sz w:val="24"/>
                <w:szCs w:val="24"/>
              </w:rPr>
              <w:t>.</w:t>
            </w:r>
            <w:r>
              <w:rPr>
                <w:rStyle w:val="5"/>
                <w:rFonts w:hint="eastAsia" w:ascii="宋体" w:hAnsi="宋体" w:eastAsia="宋体" w:cs="宋体"/>
                <w:b/>
                <w:i w:val="0"/>
                <w:caps w:val="0"/>
                <w:color w:val="000000"/>
                <w:spacing w:val="15"/>
                <w:sz w:val="24"/>
                <w:szCs w:val="24"/>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226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sz w:val="21"/>
                <w:szCs w:val="21"/>
              </w:rPr>
            </w:pPr>
            <w:r>
              <w:rPr>
                <w:rStyle w:val="5"/>
                <w:rFonts w:hint="eastAsia" w:ascii="宋体" w:hAnsi="宋体" w:eastAsia="宋体" w:cs="宋体"/>
                <w:b/>
                <w:i w:val="0"/>
                <w:caps w:val="0"/>
                <w:color w:val="000000"/>
                <w:spacing w:val="15"/>
                <w:sz w:val="24"/>
                <w:szCs w:val="24"/>
              </w:rPr>
              <w:t>学习书籍</w:t>
            </w:r>
          </w:p>
        </w:tc>
        <w:tc>
          <w:tcPr>
            <w:tcW w:w="6210"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sz w:val="21"/>
                <w:szCs w:val="21"/>
              </w:rPr>
            </w:pPr>
            <w:r>
              <w:rPr>
                <w:rStyle w:val="5"/>
                <w:rFonts w:hint="eastAsia" w:ascii="宋体" w:hAnsi="宋体" w:eastAsia="宋体" w:cs="宋体"/>
                <w:b/>
                <w:i w:val="0"/>
                <w:caps w:val="0"/>
                <w:color w:val="000000"/>
                <w:spacing w:val="15"/>
                <w:sz w:val="24"/>
                <w:szCs w:val="24"/>
                <w:shd w:val="clear" w:fill="FFFFFF"/>
              </w:rPr>
              <w:t>《</w:t>
            </w:r>
            <w:r>
              <w:rPr>
                <w:rStyle w:val="5"/>
                <w:rFonts w:hint="eastAsia" w:ascii="宋体" w:hAnsi="宋体" w:eastAsia="宋体" w:cs="宋体"/>
                <w:b/>
                <w:i w:val="0"/>
                <w:caps w:val="0"/>
                <w:color w:val="000000"/>
                <w:spacing w:val="15"/>
                <w:sz w:val="24"/>
                <w:szCs w:val="24"/>
                <w:shd w:val="clear" w:fill="FFFFFF"/>
                <w:lang w:eastAsia="zh-CN"/>
              </w:rPr>
              <w:t>课程透视</w:t>
            </w:r>
            <w:r>
              <w:rPr>
                <w:rStyle w:val="5"/>
                <w:rFonts w:hint="eastAsia" w:ascii="宋体" w:hAnsi="宋体" w:eastAsia="宋体" w:cs="宋体"/>
                <w:b/>
                <w:i w:val="0"/>
                <w:caps w:val="0"/>
                <w:color w:val="000000"/>
                <w:spacing w:val="15"/>
                <w:sz w:val="24"/>
                <w:szCs w:val="24"/>
                <w:shd w:val="clear"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0" w:hRule="atLeast"/>
        </w:trPr>
        <w:tc>
          <w:tcPr>
            <w:tcW w:w="8475"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Style w:val="5"/>
                <w:rFonts w:hint="eastAsia" w:ascii="宋体" w:hAnsi="宋体" w:eastAsia="宋体" w:cs="宋体"/>
                <w:b/>
                <w:i w:val="0"/>
                <w:caps w:val="0"/>
                <w:color w:val="000000"/>
                <w:spacing w:val="15"/>
                <w:sz w:val="22"/>
                <w:szCs w:val="22"/>
              </w:rPr>
            </w:pPr>
            <w:r>
              <w:rPr>
                <w:rStyle w:val="5"/>
                <w:rFonts w:hint="eastAsia" w:ascii="宋体" w:hAnsi="宋体" w:eastAsia="宋体" w:cs="宋体"/>
                <w:b/>
                <w:i w:val="0"/>
                <w:caps w:val="0"/>
                <w:color w:val="000000"/>
                <w:spacing w:val="15"/>
                <w:sz w:val="24"/>
                <w:szCs w:val="24"/>
              </w:rPr>
              <w:t>内</w:t>
            </w:r>
            <w:r>
              <w:rPr>
                <w:rStyle w:val="5"/>
                <w:rFonts w:hint="eastAsia" w:ascii="宋体" w:hAnsi="宋体" w:eastAsia="宋体" w:cs="宋体"/>
                <w:b/>
                <w:i w:val="0"/>
                <w:caps w:val="0"/>
                <w:color w:val="000000"/>
                <w:spacing w:val="15"/>
                <w:sz w:val="22"/>
                <w:szCs w:val="22"/>
              </w:rPr>
              <w:t>容摘要：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540" w:firstLineChars="200"/>
              <w:jc w:val="left"/>
              <w:textAlignment w:val="auto"/>
              <w:outlineLvl w:val="9"/>
              <w:rPr>
                <w:rFonts w:hint="eastAsia" w:ascii="宋体" w:hAnsi="宋体" w:eastAsia="宋体" w:cs="宋体"/>
                <w:i w:val="0"/>
                <w:caps w:val="0"/>
                <w:color w:val="252525"/>
                <w:spacing w:val="15"/>
                <w:sz w:val="24"/>
                <w:szCs w:val="24"/>
                <w:shd w:val="clear" w:color="auto" w:fill="FFFFFF"/>
              </w:rPr>
            </w:pPr>
            <w:r>
              <w:rPr>
                <w:rFonts w:hint="eastAsia" w:ascii="宋体" w:hAnsi="宋体" w:eastAsia="宋体" w:cs="宋体"/>
                <w:i w:val="0"/>
                <w:caps w:val="0"/>
                <w:color w:val="252525"/>
                <w:spacing w:val="15"/>
                <w:sz w:val="24"/>
                <w:szCs w:val="24"/>
                <w:shd w:val="clear" w:color="auto" w:fill="FFFFFF"/>
              </w:rPr>
              <w:t>中小学教育是基础教育，所有的学科都是为了学生基本素养的培养和提高打基础的，而基本素养没有高低之分主次之别。人的素养是个结构，需要各方面素养构成合理，完善整体应当是这一结构的基本要求。互相依存，互相渗透，互相促进应当是这一结构的重要特征课程。世界是平的，所有课程是等值的，中小学的所有课程都是重要的，都是主要的，不存在谁主谁次不存在谁服从谁、谁服务谁的问题。体音美不因其课时少而被贬为副科，课改至今，教育改革至今如果还有副科的叫法，实在是一种遗憾！体音美不仅不应是副科，相反，非常重要！其价值与语数外一样影响着学生的当下学习也影响着学生的终身发展。陶行知早就明确指出：我们每天应该要问的是自己的身体有没有进步？又进步了多少？为什么要这样问？因为健康第一，没有身体一切都完了。身体是革命的本钱，这不是简简单单的一句废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00" w:hRule="atLeast"/>
        </w:trPr>
        <w:tc>
          <w:tcPr>
            <w:tcW w:w="8475"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jc w:val="left"/>
              <w:rPr>
                <w:rFonts w:ascii="宋体" w:hAnsi="宋体" w:eastAsia="宋体" w:cs="宋体"/>
                <w:sz w:val="21"/>
                <w:szCs w:val="21"/>
              </w:rPr>
            </w:pPr>
            <w:r>
              <w:rPr>
                <w:rStyle w:val="5"/>
                <w:rFonts w:hint="eastAsia" w:ascii="宋体" w:hAnsi="宋体" w:eastAsia="宋体" w:cs="宋体"/>
                <w:b/>
                <w:i w:val="0"/>
                <w:caps w:val="0"/>
                <w:color w:val="000000"/>
                <w:spacing w:val="15"/>
                <w:sz w:val="24"/>
                <w:szCs w:val="24"/>
                <w:shd w:val="clear" w:fill="FFFFFF"/>
              </w:rPr>
              <w:t>学习体会：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tLeast"/>
              <w:ind w:left="150" w:right="90" w:firstLine="480"/>
              <w:rPr>
                <w:rFonts w:ascii="宋体" w:hAnsi="宋体" w:eastAsia="宋体" w:cs="宋体"/>
                <w:sz w:val="21"/>
                <w:szCs w:val="21"/>
              </w:rPr>
            </w:pPr>
            <w:r>
              <w:rPr>
                <w:rFonts w:hint="eastAsia" w:ascii="宋体" w:hAnsi="宋体" w:eastAsia="宋体" w:cs="宋体"/>
                <w:i w:val="0"/>
                <w:caps w:val="0"/>
                <w:color w:val="252525"/>
                <w:spacing w:val="15"/>
                <w:sz w:val="24"/>
                <w:szCs w:val="24"/>
                <w:shd w:val="clear" w:color="auto" w:fill="FFFFFF"/>
              </w:rPr>
              <w:t>教师应成为课程改革的主角，首先做一名道德教师，教师不是教学科的，是教人的，其次，充分调动教师的积极性和创造性，引导学生学会学习，善于设计科学的适当学习活动，最后，要提升自己的教，坚持教与学的统一，鼓励教师在实践中探索，形成自己的教学样式与风格。从学生来说，要唤醒学生的美丽心灵，让儿童在课程里站起来，让学生成为课程的主体，引导他们参与课程的决策与设计，让他们在自主、合作、探究的方式中快乐的学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90F03"/>
    <w:rsid w:val="113C6513"/>
    <w:rsid w:val="2141581D"/>
    <w:rsid w:val="2508680D"/>
    <w:rsid w:val="25B06DDA"/>
    <w:rsid w:val="29E327E0"/>
    <w:rsid w:val="31B7469D"/>
    <w:rsid w:val="33AA2767"/>
    <w:rsid w:val="421B1C45"/>
    <w:rsid w:val="47BE28FF"/>
    <w:rsid w:val="5FD875D1"/>
    <w:rsid w:val="60AA5E7D"/>
    <w:rsid w:val="62130028"/>
    <w:rsid w:val="66510A6B"/>
    <w:rsid w:val="6BD85110"/>
    <w:rsid w:val="6DBE47AD"/>
    <w:rsid w:val="745F5922"/>
    <w:rsid w:val="78981D2E"/>
    <w:rsid w:val="7D100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卞丽霞</cp:lastModifiedBy>
  <dcterms:modified xsi:type="dcterms:W3CDTF">2021-11-29T06:17:00Z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