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502"/>
        <w:gridCol w:w="26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胡秋香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六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年级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语文</w:t>
            </w:r>
          </w:p>
        </w:tc>
        <w:tc>
          <w:tcPr>
            <w:tcW w:w="1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>
            <w:pPr>
              <w:pStyle w:val="4"/>
              <w:widowControl/>
              <w:spacing w:line="405" w:lineRule="atLeast"/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  <w:t>　　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  <w:t>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  <w:t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21世纪的教育应该向“全球共同利益”的理念转变。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</w:p>
          <w:p>
            <w:pPr>
              <w:pStyle w:val="4"/>
              <w:widowControl/>
              <w:shd w:val="clear" w:color="auto" w:fill="FFFFFF"/>
              <w:spacing w:line="360" w:lineRule="atLeast"/>
              <w:ind w:firstLine="540" w:firstLineChars="20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5"/>
              </w:rPr>
              <w:t>放眼世界，我们看到在扩大全民学习机会方面已经取得了长足的进步。然而，我们必须吸取适当的经验教训，确定新的前进方向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我们必须比以往任何时候都更加重视教师和教育工作者，将他们作为全面推动变革的力量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17EB436D"/>
    <w:rsid w:val="26292567"/>
    <w:rsid w:val="33175E60"/>
    <w:rsid w:val="3DD376DE"/>
    <w:rsid w:val="450F11FB"/>
    <w:rsid w:val="46226132"/>
    <w:rsid w:val="55E222E1"/>
    <w:rsid w:val="56AE017D"/>
    <w:rsid w:val="57A05233"/>
    <w:rsid w:val="5A665E03"/>
    <w:rsid w:val="7C53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31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闲情</cp:lastModifiedBy>
  <dcterms:modified xsi:type="dcterms:W3CDTF">2018-09-27T00:53:44Z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