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margin" w:tblpXSpec="center" w:tblpY="1597"/>
        <w:tblOverlap w:val="never"/>
        <w:tblW w:w="10665" w:type="dxa"/>
        <w:tblCellSpacing w:w="1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21"/>
        <w:gridCol w:w="1130"/>
        <w:gridCol w:w="2474"/>
        <w:gridCol w:w="1653"/>
        <w:gridCol w:w="1188"/>
        <w:gridCol w:w="299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1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45" w:lineRule="atLeast"/>
              <w:jc w:val="center"/>
            </w:pPr>
            <w:r>
              <w:rPr>
                <w:rStyle w:val="5"/>
                <w:rFonts w:hint="eastAsia" w:ascii="宋体" w:hAnsi="宋体" w:cs="宋体"/>
                <w:color w:val="000000"/>
                <w:spacing w:val="15"/>
              </w:rPr>
              <w:t>学习者</w:t>
            </w:r>
          </w:p>
        </w:tc>
        <w:tc>
          <w:tcPr>
            <w:tcW w:w="11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45" w:lineRule="atLeast"/>
              <w:jc w:val="both"/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汤婷</w:t>
            </w:r>
          </w:p>
        </w:tc>
        <w:tc>
          <w:tcPr>
            <w:tcW w:w="24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45" w:lineRule="atLeast"/>
              <w:jc w:val="center"/>
            </w:pPr>
            <w:r>
              <w:rPr>
                <w:rStyle w:val="5"/>
                <w:rFonts w:hint="eastAsia" w:ascii="宋体" w:hAnsi="宋体" w:cs="宋体"/>
                <w:color w:val="000000"/>
                <w:spacing w:val="15"/>
              </w:rPr>
              <w:t>任教年级、学科</w:t>
            </w:r>
          </w:p>
        </w:tc>
        <w:tc>
          <w:tcPr>
            <w:tcW w:w="162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45" w:lineRule="atLeast"/>
              <w:jc w:val="center"/>
              <w:rPr>
                <w:rFonts w:hint="eastAsia" w:eastAsia="宋体"/>
                <w:lang w:eastAsia="zh-CN"/>
              </w:rPr>
            </w:pPr>
            <w:r>
              <w:rPr>
                <w:rStyle w:val="5"/>
                <w:rFonts w:hint="eastAsia" w:ascii="宋体" w:hAnsi="宋体" w:cs="宋体"/>
                <w:color w:val="000000"/>
                <w:spacing w:val="15"/>
                <w:lang w:eastAsia="zh-CN"/>
              </w:rPr>
              <w:t>三英</w:t>
            </w:r>
            <w:bookmarkStart w:id="0" w:name="_GoBack"/>
            <w:bookmarkEnd w:id="0"/>
          </w:p>
        </w:tc>
        <w:tc>
          <w:tcPr>
            <w:tcW w:w="115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45" w:lineRule="atLeast"/>
              <w:jc w:val="center"/>
            </w:pPr>
            <w:r>
              <w:rPr>
                <w:rStyle w:val="5"/>
                <w:rFonts w:hint="eastAsia" w:ascii="宋体" w:hAnsi="宋体" w:cs="宋体"/>
                <w:color w:val="000000"/>
                <w:spacing w:val="15"/>
              </w:rPr>
              <w:t>学习时间</w:t>
            </w:r>
          </w:p>
        </w:tc>
        <w:tc>
          <w:tcPr>
            <w:tcW w:w="295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45" w:lineRule="atLeast"/>
              <w:jc w:val="center"/>
              <w:rPr>
                <w:rFonts w:hint="eastAsia" w:eastAsia="宋体"/>
                <w:lang w:eastAsia="zh-CN"/>
              </w:rPr>
            </w:pPr>
            <w:r>
              <w:rPr>
                <w:rStyle w:val="5"/>
                <w:rFonts w:ascii="Times New Roman" w:hAnsi="Times New Roman"/>
                <w:color w:val="000000"/>
                <w:spacing w:val="15"/>
              </w:rPr>
              <w:t>2019</w:t>
            </w:r>
            <w:r>
              <w:rPr>
                <w:rStyle w:val="5"/>
                <w:rFonts w:hint="eastAsia" w:ascii="宋体" w:hAnsi="宋体" w:cs="宋体"/>
                <w:color w:val="000000"/>
                <w:spacing w:val="15"/>
              </w:rPr>
              <w:t>．</w:t>
            </w:r>
            <w:r>
              <w:rPr>
                <w:rStyle w:val="5"/>
                <w:rFonts w:hint="eastAsia" w:ascii="宋体" w:hAnsi="宋体" w:cs="宋体"/>
                <w:color w:val="000000"/>
                <w:spacing w:val="15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</w:trPr>
        <w:tc>
          <w:tcPr>
            <w:tcW w:w="2306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45" w:lineRule="atLeast"/>
              <w:jc w:val="center"/>
            </w:pPr>
            <w:r>
              <w:rPr>
                <w:rStyle w:val="5"/>
                <w:rFonts w:hint="eastAsia" w:ascii="宋体" w:hAnsi="宋体" w:cs="宋体"/>
                <w:color w:val="000000"/>
                <w:spacing w:val="15"/>
              </w:rPr>
              <w:t>学习书籍</w:t>
            </w:r>
          </w:p>
        </w:tc>
        <w:tc>
          <w:tcPr>
            <w:tcW w:w="8269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45" w:lineRule="atLeast"/>
              <w:ind w:firstLine="2168" w:firstLineChars="800"/>
              <w:jc w:val="both"/>
            </w:pPr>
            <w:r>
              <w:rPr>
                <w:rStyle w:val="5"/>
                <w:rFonts w:hint="eastAsia" w:ascii="宋体" w:hAnsi="宋体" w:cs="宋体"/>
                <w:color w:val="000000"/>
                <w:spacing w:val="15"/>
              </w:rPr>
              <w:t>《反思教育》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0" w:hRule="atLeast"/>
          <w:tblCellSpacing w:w="15" w:type="dxa"/>
        </w:trPr>
        <w:tc>
          <w:tcPr>
            <w:tcW w:w="10605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2"/>
              <w:widowControl/>
              <w:spacing w:line="405" w:lineRule="atLeast"/>
              <w:rPr>
                <w:rFonts w:ascii="宋体" w:hAnsi="宋体" w:cs="宋体"/>
                <w:color w:val="000000"/>
                <w:spacing w:val="15"/>
              </w:rPr>
            </w:pPr>
            <w:r>
              <w:rPr>
                <w:rStyle w:val="5"/>
                <w:rFonts w:hint="eastAsia" w:ascii="宋体" w:hAnsi="宋体" w:cs="宋体"/>
                <w:color w:val="000000"/>
                <w:spacing w:val="15"/>
                <w:sz w:val="28"/>
                <w:szCs w:val="28"/>
              </w:rPr>
              <w:t>内容摘要</w:t>
            </w:r>
            <w:r>
              <w:rPr>
                <w:rFonts w:hint="eastAsia" w:ascii="宋体" w:hAnsi="宋体" w:cs="宋体"/>
                <w:color w:val="000000"/>
                <w:spacing w:val="15"/>
              </w:rPr>
              <w:t>：</w:t>
            </w:r>
          </w:p>
          <w:p>
            <w:pPr>
              <w:pStyle w:val="2"/>
              <w:widowControl/>
              <w:spacing w:line="405" w:lineRule="atLeast"/>
              <w:ind w:firstLine="540" w:firstLineChars="200"/>
              <w:rPr>
                <w:rStyle w:val="5"/>
                <w:rFonts w:ascii="宋体" w:hAnsi="宋体" w:cs="宋体"/>
                <w:b w:val="0"/>
                <w:color w:val="000000"/>
                <w:spacing w:val="15"/>
                <w:shd w:val="clear" w:color="auto" w:fill="FFFFFF"/>
              </w:rPr>
            </w:pPr>
            <w:r>
              <w:rPr>
                <w:rStyle w:val="5"/>
                <w:rFonts w:hint="eastAsia" w:ascii="宋体" w:hAnsi="宋体" w:cs="宋体"/>
                <w:b w:val="0"/>
                <w:color w:val="000000"/>
                <w:spacing w:val="15"/>
                <w:shd w:val="clear" w:color="auto" w:fill="FFFFFF"/>
              </w:rPr>
              <w:t>《反思教育：向“全球共同利益”的理念转变？》是联合国教科文组织2016年发布的研究报告，是继1972年发布富尔报告和1996年发布德洛尔报告之后的第三份重要报告，我国著名教育家顾明远先生称之为“必定像前两份报告那样对世界教育的发展产生重大的影响”。 《富尔报告》提出的“学习化社会”和“终身教育”两个基本观念和《德洛尔报告》提出教育的“四大支柱”：学会认知、学会做事、学会合作、学会生存这些教育观念，已经深刻影响了世界教育的发展。而《反思教育》则是在思考: 我们在21世纪需要怎样的教育？在当前社会变革的背景下，教育的宗旨是什 么？应如何组织学习？等这些问题。《反思教育》重申的人文主义教育观和发展观，把教育视为“全球共同利益”的价值定位，充满了人文主义精神，强调反思教育，反思学习，反思自身；提出了教育是人类的共同利益，知识是全人类的财富，而且要为可持续发展承担责任。</w:t>
            </w:r>
          </w:p>
          <w:p>
            <w:pPr>
              <w:pStyle w:val="2"/>
              <w:widowControl/>
              <w:spacing w:line="405" w:lineRule="atLeast"/>
              <w:ind w:firstLine="555"/>
              <w:rPr>
                <w:rStyle w:val="5"/>
                <w:rFonts w:ascii="宋体" w:hAnsi="宋体" w:cs="宋体"/>
                <w:b w:val="0"/>
                <w:color w:val="000000"/>
                <w:spacing w:val="15"/>
                <w:shd w:val="clear" w:color="auto" w:fill="FFFFFF"/>
              </w:rPr>
            </w:pPr>
          </w:p>
          <w:p>
            <w:pPr>
              <w:pStyle w:val="2"/>
              <w:widowControl/>
              <w:spacing w:line="405" w:lineRule="atLeast"/>
              <w:ind w:firstLine="555"/>
              <w:rPr>
                <w:rStyle w:val="5"/>
                <w:rFonts w:ascii="宋体" w:hAnsi="宋体" w:cs="宋体"/>
                <w:b w:val="0"/>
                <w:color w:val="000000"/>
                <w:spacing w:val="15"/>
                <w:shd w:val="clear" w:color="auto" w:fill="FFFFFF"/>
              </w:rPr>
            </w:pPr>
            <w:r>
              <w:rPr>
                <w:rStyle w:val="5"/>
                <w:rFonts w:hint="eastAsia" w:ascii="宋体" w:hAnsi="宋体" w:cs="宋体"/>
                <w:b w:val="0"/>
                <w:color w:val="000000"/>
                <w:spacing w:val="15"/>
                <w:shd w:val="clear" w:color="auto" w:fill="FFFFFF"/>
              </w:rPr>
              <w:t xml:space="preserve">      </w:t>
            </w:r>
          </w:p>
          <w:p>
            <w:pPr>
              <w:pStyle w:val="2"/>
              <w:widowControl/>
              <w:spacing w:line="405" w:lineRule="atLeast"/>
              <w:ind w:firstLine="555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0" w:hRule="atLeast"/>
          <w:tblCellSpacing w:w="15" w:type="dxa"/>
        </w:trPr>
        <w:tc>
          <w:tcPr>
            <w:tcW w:w="10605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2"/>
              <w:widowControl/>
              <w:shd w:val="clear" w:color="auto" w:fill="FFFFFF"/>
              <w:spacing w:line="360" w:lineRule="atLeast"/>
              <w:rPr>
                <w:rFonts w:ascii="宋体" w:cs="宋体"/>
                <w:color w:val="000000"/>
                <w:spacing w:val="15"/>
                <w:shd w:val="clear" w:color="auto" w:fill="FFFFFF"/>
              </w:rPr>
            </w:pPr>
            <w:r>
              <w:rPr>
                <w:rStyle w:val="5"/>
                <w:rFonts w:hint="eastAsia" w:ascii="宋体" w:hAnsi="宋体" w:cs="宋体"/>
                <w:color w:val="000000"/>
                <w:spacing w:val="15"/>
                <w:sz w:val="28"/>
                <w:szCs w:val="28"/>
                <w:shd w:val="clear" w:color="auto" w:fill="FFFFFF"/>
              </w:rPr>
              <w:t>学</w:t>
            </w:r>
            <w:r>
              <w:rPr>
                <w:rFonts w:hint="eastAsia" w:ascii="Arial" w:hAnsi="Arial" w:cs="Arial"/>
                <w:b/>
                <w:color w:val="000000"/>
                <w:shd w:val="clear" w:color="auto" w:fill="FFFFFF"/>
              </w:rPr>
              <w:t>习体会</w:t>
            </w:r>
            <w:r>
              <w:rPr>
                <w:rFonts w:hint="eastAsia" w:ascii="Arial" w:hAnsi="Arial" w:cs="Arial"/>
                <w:color w:val="000000"/>
                <w:shd w:val="clear" w:color="auto" w:fill="FFFFFF"/>
              </w:rPr>
              <w:t xml:space="preserve">：近日阅读中，我从本书中体会最深的是以下几点…一：维护和增强个人在其他人和自然面前的尊严、能力和福祉，应是21世纪教育的根本宗旨。 这种人文主义价值观作为教育的基础和宗旨，尊重生命和人格尊严，权利平等和社会正义，文化和社会多样性，以及为建设我们未来而实现团结和共担责任的意识。这句话让我想起最近在教学中涉及到的康德先生《纯粹理性批判》中所言：人不是他人的工具，而是自身的目的。我目前教学的对象是高二文科班学生，康德这一思想恰是体现人文主义的理念，康德最终确立了人类的主体地位。然而在实际教学中我发现绝大多数同学并不能很好的理解这句话，甚至是人文主义的概念。反思教育，也是教育中的一种手段，因此让学生举例子，找出非人文主义的现象，这样的例子生活中比比皆是。通过比较学生似乎能够理解一些。二：学会如何学习从来没有像今天这么重要。 学习是一种能力，而大多数人却把学习和分数直接挂钩，认为学习就是考试考试就是学习。实际上这二者是不能等同的。 《德洛尔》报告指出学习的四大支柱在《反思教育&gt;中得到重新解读，为什么呢？因为“学会求知、学会做事、学会做人、学会共处”对国家的教育政策课程改革都产生了重大影响。如我们中国最近&lt;中国学生发展核心素养》中就有所体现“学会合作、学会学习”等都是当今社会需要的核心能力。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FC6210"/>
    <w:rsid w:val="16047400"/>
    <w:rsid w:val="1E466177"/>
    <w:rsid w:val="28AF39F7"/>
    <w:rsid w:val="3A8E319B"/>
    <w:rsid w:val="57AB6BC4"/>
    <w:rsid w:val="73B2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5">
    <w:name w:val="Strong"/>
    <w:qFormat/>
    <w:uiPriority w:val="99"/>
    <w:rPr>
      <w:rFonts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2019-05-07T07:13:17Z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