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前黄中心小学安全宣传教育和培训演练工作计划</w:t>
      </w:r>
    </w:p>
    <w:p>
      <w:pPr>
        <w:pStyle w:val="3"/>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2023年是贯彻党的二十大精神的开局之年，是深入推进教育高质量发展、实施“十四五”教育规划承上启下的关键之年</w:t>
      </w:r>
      <w:r>
        <w:rPr>
          <w:rFonts w:hint="eastAsia" w:ascii="宋体" w:hAnsi="宋体" w:eastAsia="宋体" w:cs="宋体"/>
          <w:sz w:val="24"/>
          <w:szCs w:val="24"/>
          <w:lang w:val="en-US" w:eastAsia="zh-CN"/>
        </w:rPr>
        <w:t>。</w:t>
      </w:r>
      <w:r>
        <w:rPr>
          <w:rFonts w:hint="eastAsia" w:ascii="宋体" w:hAnsi="宋体" w:eastAsia="宋体" w:cs="宋体"/>
          <w:sz w:val="24"/>
          <w:szCs w:val="24"/>
        </w:rPr>
        <w:t>本</w:t>
      </w:r>
      <w:r>
        <w:rPr>
          <w:rFonts w:hint="eastAsia" w:ascii="宋体" w:hAnsi="宋体" w:eastAsia="宋体" w:cs="宋体"/>
          <w:sz w:val="24"/>
          <w:szCs w:val="24"/>
          <w:lang w:val="en-US" w:eastAsia="zh-CN"/>
        </w:rPr>
        <w:t>年度</w:t>
      </w:r>
      <w:r>
        <w:rPr>
          <w:rFonts w:hint="eastAsia" w:ascii="宋体" w:hAnsi="宋体" w:eastAsia="宋体" w:cs="宋体"/>
          <w:sz w:val="24"/>
          <w:szCs w:val="24"/>
        </w:rPr>
        <w:t>坚持以习近平新时代中国特色社会主义思想为指导，贯彻落实中央和省、市、区关于安全生产工作的决策部署，努力完成“532”发展战略重点任务，持续推进校园安全风险防控体系建设，大力开展校园安全治理，全力推动“常安教育”赋能工程，筑牢校园安全“铜墙铁壁”，实现教育高质量发展和高水平安全良性互动，为推进“强富美高”新武进建设走在前列，为奋力谱写人民满意教育的新篇章保驾护航</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sz w:val="24"/>
          <w:szCs w:val="24"/>
        </w:rPr>
        <w:t xml:space="preserve">持续强化安全责任落实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树牢安全发展理念。认真贯彻落实党的二十大和二十届一中全会精神，持续深入学习贯彻习近平总书记关于安全生产的重要论述和指示批示精神，全面落实党中央国务院、省委省政府和市委市政府、区委区政府关于安全生产工作决策部署，更好统筹发展和安全，强化安全生产红线意识和底线思维，以实际行动和实际成效践行“两个维护”。继续将习近平总书记重要论述作为教育系统理论学习中心组学习的重要内容，列入</w:t>
      </w:r>
      <w:r>
        <w:rPr>
          <w:rFonts w:hint="eastAsia" w:ascii="宋体" w:hAnsi="宋体" w:eastAsia="宋体" w:cs="宋体"/>
          <w:sz w:val="24"/>
          <w:szCs w:val="24"/>
          <w:lang w:val="en-US" w:eastAsia="zh-CN"/>
        </w:rPr>
        <w:t>学校</w:t>
      </w:r>
      <w:r>
        <w:rPr>
          <w:rFonts w:hint="eastAsia" w:ascii="宋体" w:hAnsi="宋体" w:eastAsia="宋体" w:cs="宋体"/>
          <w:sz w:val="24"/>
          <w:szCs w:val="24"/>
        </w:rPr>
        <w:t>教师培训计划，成为学校教职员工在线学习和日常教育培训的必修项目。加强创建安全发展示范城市宣传力度，深入开展“安全教育日”“415全民国家安全日”“512防灾减灾日”“安全生产月”“119消防宣传月”“122交通安全日”等主题宣教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落实党政领导责任。按照“党政同责、一岗双责、齐抓共管、失职追责”的要求，制定并落实党政主要领导和班子成员安全工作责任，将履行安全生产工作责任情况纳入领导干部年度述职内容，形成主要领导亲自抓、分管领导具体抓的工作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落实</w:t>
      </w:r>
      <w:r>
        <w:rPr>
          <w:rFonts w:hint="eastAsia" w:ascii="宋体" w:hAnsi="宋体" w:eastAsia="宋体" w:cs="宋体"/>
          <w:sz w:val="24"/>
          <w:szCs w:val="24"/>
          <w:lang w:val="en-US" w:eastAsia="zh-CN"/>
        </w:rPr>
        <w:t>部门</w:t>
      </w:r>
      <w:r>
        <w:rPr>
          <w:rFonts w:hint="eastAsia" w:ascii="宋体" w:hAnsi="宋体" w:eastAsia="宋体" w:cs="宋体"/>
          <w:sz w:val="24"/>
          <w:szCs w:val="24"/>
        </w:rPr>
        <w:t>监督责任。按照</w:t>
      </w:r>
      <w:r>
        <w:rPr>
          <w:rFonts w:hint="eastAsia" w:ascii="宋体" w:hAnsi="宋体" w:eastAsia="宋体" w:cs="宋体"/>
          <w:sz w:val="24"/>
          <w:szCs w:val="24"/>
          <w:lang w:bidi="ar"/>
        </w:rPr>
        <w:t>“三管三必须”“谁主管谁负责、谁审批谁负责”的原则，落实部门监督职责，建立各层级分工负责、各部门相互配合的安全生产综合监督体系</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落实学校主体责任。坚持“安全第一、预防为主、综合治理”的原则，压实学校安全主体责任。健全安全管理制度，明确安全责任分工，落实安全防范措施，加强师生安全教育，不断完善学校内部安全管理和岗位安全责任体系。强化校园安全专业化管理，提高校园安全管理队伍专业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落实员</w:t>
      </w:r>
      <w:r>
        <w:rPr>
          <w:rFonts w:hint="eastAsia" w:ascii="宋体" w:hAnsi="宋体" w:eastAsia="宋体" w:cs="宋体"/>
          <w:sz w:val="24"/>
          <w:szCs w:val="24"/>
          <w:u w:val="none"/>
        </w:rPr>
        <w:t>工</w:t>
      </w:r>
      <w:r>
        <w:rPr>
          <w:rFonts w:hint="eastAsia" w:ascii="宋体" w:hAnsi="宋体" w:eastAsia="宋体" w:cs="宋体"/>
          <w:sz w:val="24"/>
          <w:szCs w:val="24"/>
        </w:rPr>
        <w:t>岗位责任。严格执行《中小学校岗位安全工作指南》，进一步强化班主任、任课教师、实验室管理员等40个主要岗位的安全职责，将安全工作与教育教学工作同研究、同部署、同落实，建立健全岗位安全工作考核奖惩机制，制定考核办法，落实年度考核工作，形成“人人有责、层层负责、各负其责”的全员安全责任体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聚焦聚力市“532”发展战略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实施“三防”建设提质工程。</w:t>
      </w:r>
      <w:r>
        <w:rPr>
          <w:rFonts w:hint="eastAsia" w:ascii="宋体" w:hAnsi="宋体" w:eastAsia="宋体" w:cs="宋体"/>
          <w:b w:val="0"/>
          <w:bCs w:val="0"/>
          <w:sz w:val="24"/>
          <w:szCs w:val="24"/>
          <w:lang w:bidi="ar"/>
        </w:rPr>
        <w:t>全面落实新国标《中小学、幼儿园安全防范要求2022》（GBT 29315-2022），强化校园安全防范建设“四个100%”。校园专职保安必须执证上岗，各校专职保安首聘年龄不超过50周岁，工作年龄不超过60周岁。</w:t>
      </w:r>
      <w:r>
        <w:rPr>
          <w:rFonts w:hint="eastAsia" w:ascii="宋体" w:hAnsi="宋体" w:eastAsia="宋体" w:cs="宋体"/>
          <w:b w:val="0"/>
          <w:bCs w:val="0"/>
          <w:sz w:val="24"/>
          <w:szCs w:val="24"/>
        </w:rPr>
        <w:t>持续推动校园三防</w:t>
      </w:r>
      <w:r>
        <w:rPr>
          <w:rFonts w:hint="eastAsia" w:ascii="宋体" w:hAnsi="宋体" w:eastAsia="宋体" w:cs="宋体"/>
          <w:b w:val="0"/>
          <w:bCs w:val="0"/>
          <w:sz w:val="24"/>
          <w:szCs w:val="24"/>
          <w:lang w:val="en-US" w:eastAsia="zh-CN"/>
        </w:rPr>
        <w:t>建设各率</w:t>
      </w:r>
      <w:r>
        <w:rPr>
          <w:rFonts w:hint="eastAsia" w:ascii="宋体" w:hAnsi="宋体" w:eastAsia="宋体" w:cs="宋体"/>
          <w:b w:val="0"/>
          <w:bCs w:val="0"/>
          <w:sz w:val="24"/>
          <w:szCs w:val="24"/>
        </w:rPr>
        <w:t>动态达标</w:t>
      </w:r>
      <w:r>
        <w:rPr>
          <w:rFonts w:hint="eastAsia" w:ascii="宋体" w:hAnsi="宋体" w:eastAsia="宋体" w:cs="宋体"/>
          <w:b w:val="0"/>
          <w:bCs w:val="0"/>
          <w:sz w:val="24"/>
          <w:szCs w:val="24"/>
          <w:lang w:val="en-US" w:eastAsia="zh-CN"/>
        </w:rPr>
        <w:t>推进</w:t>
      </w:r>
      <w:r>
        <w:rPr>
          <w:rFonts w:hint="eastAsia" w:ascii="宋体" w:hAnsi="宋体" w:eastAsia="宋体" w:cs="宋体"/>
          <w:b w:val="0"/>
          <w:bCs w:val="0"/>
          <w:sz w:val="24"/>
          <w:szCs w:val="24"/>
        </w:rPr>
        <w:t>智慧安防校园</w:t>
      </w:r>
      <w:r>
        <w:rPr>
          <w:rFonts w:hint="eastAsia" w:ascii="宋体" w:hAnsi="宋体" w:eastAsia="宋体" w:cs="宋体"/>
          <w:b w:val="0"/>
          <w:bCs w:val="0"/>
          <w:sz w:val="24"/>
          <w:szCs w:val="24"/>
          <w:lang w:val="en-US" w:eastAsia="zh-CN"/>
        </w:rPr>
        <w:t>建设</w:t>
      </w:r>
      <w:r>
        <w:rPr>
          <w:rFonts w:hint="eastAsia" w:ascii="宋体" w:hAnsi="宋体" w:eastAsia="宋体" w:cs="宋体"/>
          <w:b w:val="0"/>
          <w:bCs w:val="0"/>
          <w:sz w:val="24"/>
          <w:szCs w:val="24"/>
        </w:rPr>
        <w:t>，提升校园安防信息化水平。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实施学生安全教育增效工程。进一步推进“常州市学校安全教育平台”使用，实现学校</w:t>
      </w:r>
      <w:r>
        <w:rPr>
          <w:rFonts w:hint="eastAsia" w:ascii="宋体" w:hAnsi="宋体" w:eastAsia="宋体" w:cs="宋体"/>
          <w:b w:val="0"/>
          <w:bCs/>
          <w:sz w:val="24"/>
          <w:szCs w:val="24"/>
          <w:lang w:val="en-US" w:eastAsia="zh-CN"/>
        </w:rPr>
        <w:t>班级</w:t>
      </w:r>
      <w:r>
        <w:rPr>
          <w:rFonts w:hint="eastAsia" w:ascii="宋体" w:hAnsi="宋体" w:eastAsia="宋体" w:cs="宋体"/>
          <w:b w:val="0"/>
          <w:bCs/>
          <w:sz w:val="24"/>
          <w:szCs w:val="24"/>
        </w:rPr>
        <w:t>全覆盖。深入推进《安全教育》读本进课程、进课表、进课堂；推动落实“1530”安全教育机制，加强对学生进行安全提醒和安全教育即每天放学前1分钟、每周放学前5分钟、节假日放假前30分钟对学生进行安全提醒和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三、</w:t>
      </w:r>
      <w:r>
        <w:rPr>
          <w:rFonts w:hint="eastAsia" w:ascii="宋体" w:hAnsi="宋体" w:eastAsia="宋体" w:cs="宋体"/>
          <w:b w:val="0"/>
          <w:bCs w:val="0"/>
          <w:color w:val="000000"/>
          <w:sz w:val="24"/>
          <w:szCs w:val="24"/>
        </w:rPr>
        <w:t>精准落实校园安全规划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认真贯彻实施全市中小学校园安全专项规划。全面落实中小学校园安全专项规划，聚焦实验室及危化品安全、消防安全、治安防控、校车及交通安全、食品安全、建筑与施工安全、维护稳定、急性传染病、心理健康、安全教育宣传等重点方面的风险，全力推动8项重点工作、12项重点工程，多管齐下、齐抓共管，为校园创造良好的安全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扎实推进校园安全专项治理行动。持续推进校园欺凌防治、交通及校车安全、实验室危化品、校园周边环境治理提升行动、冬春火灾防控、冬季校园安全专项治理、扫黑除恶、扫黄打非等专项治理工作，排查治理校园及周边安全隐患，筑牢校园安全防线，切实保障师生的生命和财产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着力推进校园安全监管信息化。</w:t>
      </w:r>
      <w:r>
        <w:rPr>
          <w:rFonts w:hint="eastAsia" w:ascii="宋体" w:hAnsi="宋体" w:eastAsia="宋体" w:cs="宋体"/>
          <w:b w:val="0"/>
          <w:bCs w:val="0"/>
          <w:sz w:val="24"/>
          <w:szCs w:val="24"/>
          <w:lang w:val="en-US" w:eastAsia="zh-CN"/>
        </w:rPr>
        <w:t>作为</w:t>
      </w:r>
      <w:r>
        <w:rPr>
          <w:rFonts w:hint="eastAsia" w:ascii="宋体" w:hAnsi="宋体" w:eastAsia="宋体" w:cs="宋体"/>
          <w:b w:val="0"/>
          <w:bCs w:val="0"/>
          <w:sz w:val="24"/>
          <w:szCs w:val="24"/>
        </w:rPr>
        <w:t>区教育局安全监管信息化平台</w:t>
      </w:r>
      <w:r>
        <w:rPr>
          <w:rFonts w:hint="eastAsia" w:ascii="宋体" w:hAnsi="宋体" w:eastAsia="宋体" w:cs="宋体"/>
          <w:b w:val="0"/>
          <w:bCs w:val="0"/>
          <w:sz w:val="24"/>
          <w:szCs w:val="24"/>
          <w:lang w:val="en-US" w:eastAsia="zh-CN"/>
        </w:rPr>
        <w:t>试点学校</w:t>
      </w:r>
      <w:r>
        <w:rPr>
          <w:rFonts w:hint="eastAsia" w:ascii="宋体" w:hAnsi="宋体" w:eastAsia="宋体" w:cs="宋体"/>
          <w:b w:val="0"/>
          <w:bCs w:val="0"/>
          <w:sz w:val="24"/>
          <w:szCs w:val="24"/>
        </w:rPr>
        <w:t>，逐项推进常规工作和重点工作落实，量化校园安全工作考评机制，实时跟进校园安全问题隐患整改，通过网络平台实现校园安全线上监管，推动校园安全管理规范化、信息化。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四、</w:t>
      </w:r>
      <w:r>
        <w:rPr>
          <w:rFonts w:hint="eastAsia" w:ascii="宋体" w:hAnsi="宋体" w:eastAsia="宋体" w:cs="宋体"/>
          <w:b w:val="0"/>
          <w:bCs w:val="0"/>
          <w:color w:val="000000"/>
          <w:sz w:val="24"/>
          <w:szCs w:val="24"/>
        </w:rPr>
        <w:t>全力夯实校园安全基础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持续强化学校常规风险防控。开展校园消防安全标准化建设，加强学校高层建筑消防安全管理，保障消防疏散通道畅通，强化学校微型消防站建设并推动实体化运行；加强校车安全管理，切实履行校车安全管理部门职责，试点推行定制公交服务，推动校车运营模式创新，逐步解决校车挂靠问题；严格执行校园封闭式管理，严防无关人员和危险物品进入校园；配合开展特异体质学生情况筛查、关爱工作，加强学生心理健康教育和辅导，建立涉生极端事件复盘研究工作机制；做好师生保险宣传工作，充分发挥保险分担责任、化解纠纷的作用；指导督促学校建立落实安全工作档案制度，记录学校日常安全工作、安全责任落实、安全检查、安全隐患整治、安全教育和重点岗位责任落实等情况，并作为学校实施安全工作目标考核、责任追究和事故处理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科学完善校园突发应急管理。按照教育部《中小学幼儿园应急疏散演练指南》要求，进一步完善校园防险避灾、重大疫情、重大案件和事故、群体性事件、大气污染、恶劣天气、反恐防暴、校车等应急预案。制定2023年学校应急演练工作计划表，认真开展应急演练活动，确保每月不少于一次，不断提高学校突发事件应急处置能力和师生安全防范意识、自救自护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严格落实安全生产督查考核。加强学校安全工作督查整改；制定校园安全考核办法和相关细则，</w:t>
      </w:r>
      <w:r>
        <w:rPr>
          <w:rFonts w:hint="eastAsia" w:ascii="宋体" w:hAnsi="宋体" w:eastAsia="宋体" w:cs="宋体"/>
          <w:b w:val="0"/>
          <w:bCs w:val="0"/>
          <w:sz w:val="24"/>
          <w:szCs w:val="24"/>
          <w:lang w:val="en-US" w:eastAsia="zh-CN"/>
        </w:rPr>
        <w:t>加大</w:t>
      </w:r>
      <w:r>
        <w:rPr>
          <w:rFonts w:hint="eastAsia" w:ascii="宋体" w:hAnsi="宋体" w:eastAsia="宋体" w:cs="宋体"/>
          <w:b w:val="0"/>
          <w:bCs w:val="0"/>
          <w:sz w:val="24"/>
          <w:szCs w:val="24"/>
        </w:rPr>
        <w:t>学校安全生产和综治平安建设综合考核</w:t>
      </w:r>
      <w:r>
        <w:rPr>
          <w:rFonts w:hint="eastAsia" w:ascii="宋体" w:hAnsi="宋体" w:eastAsia="宋体" w:cs="宋体"/>
          <w:b w:val="0"/>
          <w:bCs w:val="0"/>
          <w:sz w:val="24"/>
          <w:szCs w:val="24"/>
          <w:lang w:val="en-US" w:eastAsia="zh-CN"/>
        </w:rPr>
        <w:t>力度</w:t>
      </w:r>
      <w:r>
        <w:rPr>
          <w:rFonts w:hint="eastAsia" w:ascii="宋体" w:hAnsi="宋体" w:eastAsia="宋体" w:cs="宋体"/>
          <w:b w:val="0"/>
          <w:bCs w:val="0"/>
          <w:sz w:val="24"/>
          <w:szCs w:val="24"/>
        </w:rPr>
        <w:t>；严格执行安全生产“一票否决”制度。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五、</w:t>
      </w:r>
      <w:r>
        <w:rPr>
          <w:rFonts w:hint="eastAsia" w:ascii="宋体" w:hAnsi="宋体" w:eastAsia="宋体" w:cs="宋体"/>
          <w:b w:val="0"/>
          <w:bCs w:val="0"/>
          <w:color w:val="000000"/>
          <w:sz w:val="24"/>
          <w:szCs w:val="24"/>
        </w:rPr>
        <w:t>持续提升校园安防水平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完善校园风险防控机制。贯彻落实国务院、省政府《关于加强中小学幼儿园安全风险防控体系建设的实施意见》，持续强化学校安全风险体系建设，</w:t>
      </w:r>
      <w:r>
        <w:rPr>
          <w:rFonts w:hint="eastAsia" w:ascii="宋体" w:hAnsi="宋体" w:eastAsia="宋体" w:cs="宋体"/>
          <w:b w:val="0"/>
          <w:bCs w:val="0"/>
          <w:sz w:val="24"/>
          <w:szCs w:val="24"/>
          <w:lang w:bidi="ar"/>
        </w:rPr>
        <w:t>推进安全风险预防、管控、处置和评估机制落实</w:t>
      </w:r>
      <w:r>
        <w:rPr>
          <w:rFonts w:hint="eastAsia" w:ascii="宋体" w:hAnsi="宋体" w:eastAsia="宋体" w:cs="宋体"/>
          <w:b w:val="0"/>
          <w:bCs w:val="0"/>
          <w:sz w:val="24"/>
          <w:szCs w:val="24"/>
        </w:rPr>
        <w:t>。定期召开校园安全稳定风险研判会，及时制定落实风险防控措施，突出隐患排查整改，聚焦重点领域，强化学校安全源头管控和系统治理。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开展岗位全员安全培训。</w:t>
      </w:r>
      <w:r>
        <w:rPr>
          <w:rFonts w:hint="eastAsia" w:ascii="宋体" w:hAnsi="宋体" w:eastAsia="宋体" w:cs="宋体"/>
          <w:b w:val="0"/>
          <w:bCs w:val="0"/>
          <w:sz w:val="24"/>
          <w:szCs w:val="24"/>
          <w:lang w:val="en-US" w:eastAsia="zh-CN"/>
        </w:rPr>
        <w:t>组织</w:t>
      </w:r>
      <w:r>
        <w:rPr>
          <w:rFonts w:hint="eastAsia" w:ascii="宋体" w:hAnsi="宋体" w:eastAsia="宋体" w:cs="宋体"/>
          <w:b w:val="0"/>
          <w:bCs w:val="0"/>
          <w:sz w:val="24"/>
          <w:szCs w:val="24"/>
        </w:rPr>
        <w:t>开展领导、教职员工专题安全教育，落实全员安全责任，增强安全意识和应对突发事件的能力；加大校园消防、反恐防暴、危化品、食品、防疫等方面的培训力度，加强安全干部、专职保安、消控室值班人员等重点岗位专业管理，健全落实安全基础知识、技能、值勤等培训制度，提升应急处突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开展校园周边治安综合治理。坚持校园及周边治安综合治理集中整治与常态化管理相结合，联合开展整治行动，净化治安环境；会同公安机关持续开展“护校安园”专项工作，优化“护学岗”设置，确保上学、放学等重点时段学校门口“见警察、见警车、见警灯”；联合检察机关、公安机关对学校新聘教师、保安及工勤人员开展动态化联动管理；配合公安机关及有关部门开展校园周边肇事肇祸及有暴力倾向的精神病人的排查摸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教育领域风险排查化解机制。围绕教育领域风险排查化解工作任务，加强系统治理、综合治理、源头治理，切实防范化解教育领域重大风险。重点关注防范化解意识形态领域风险、教育招生考试、师德师风、校园安保等方面可能存在的矛盾风险，持续开展扫黑除恶斗争行业专项整治，建立健全矛盾风险定期分析、部门协同联合研判、领导包案和属地责任机制，组织指导学校常态化排查各种涉校涉师涉生矛盾纠纷和不稳定因素，切实加强学校安全信息报告；同时协调政法委、网信、公安、应急等部门和心理专家进行联动排查，互通情报信息，联合分析研判，协同开展处置和化解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深化高质量平安校园建设。巩固深化高质量平安校园建设区创建成效，不断健全组织机构和工作机制，</w:t>
      </w:r>
      <w:r>
        <w:rPr>
          <w:rFonts w:hint="eastAsia" w:ascii="宋体" w:hAnsi="宋体" w:eastAsia="宋体" w:cs="宋体"/>
          <w:b w:val="0"/>
          <w:bCs w:val="0"/>
          <w:sz w:val="24"/>
          <w:szCs w:val="24"/>
          <w:lang w:val="en-US" w:eastAsia="zh-CN"/>
        </w:rPr>
        <w:t>进一步</w:t>
      </w:r>
      <w:r>
        <w:rPr>
          <w:rFonts w:hint="eastAsia" w:ascii="宋体" w:hAnsi="宋体" w:eastAsia="宋体" w:cs="宋体"/>
          <w:b w:val="0"/>
          <w:bCs w:val="0"/>
          <w:sz w:val="24"/>
          <w:szCs w:val="24"/>
        </w:rPr>
        <w:t>做好平安校园创建工作，不断夯实创建基础，全面提升</w:t>
      </w:r>
      <w:r>
        <w:rPr>
          <w:rFonts w:hint="eastAsia" w:ascii="宋体" w:hAnsi="宋体" w:eastAsia="宋体" w:cs="宋体"/>
          <w:b w:val="0"/>
          <w:bCs w:val="0"/>
          <w:sz w:val="24"/>
          <w:szCs w:val="24"/>
          <w:lang w:val="en-US" w:eastAsia="zh-CN"/>
        </w:rPr>
        <w:t>学校</w:t>
      </w:r>
      <w:r>
        <w:rPr>
          <w:rFonts w:hint="eastAsia" w:ascii="宋体" w:hAnsi="宋体" w:eastAsia="宋体" w:cs="宋体"/>
          <w:b w:val="0"/>
          <w:bCs w:val="0"/>
          <w:sz w:val="24"/>
          <w:szCs w:val="24"/>
        </w:rPr>
        <w:t>平安校园整体建设水平。</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color w:val="000000"/>
          <w:sz w:val="24"/>
          <w:shd w:val="clear" w:color="auto" w:fill="FFFFFF"/>
        </w:rPr>
      </w:pPr>
    </w:p>
    <w:p>
      <w:pPr>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武进区前黄中心小学</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2023年2月</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spacing w:line="700" w:lineRule="exact"/>
        <w:jc w:val="center"/>
        <w:rPr>
          <w:rFonts w:hint="eastAsia" w:ascii="黑体" w:hAnsi="黑体" w:eastAsia="黑体" w:cs="黑体"/>
          <w:sz w:val="32"/>
          <w:szCs w:val="32"/>
        </w:rPr>
      </w:pPr>
      <w:r>
        <w:rPr>
          <w:rFonts w:hint="eastAsia" w:ascii="黑体" w:hAnsi="黑体" w:eastAsia="黑体" w:cs="黑体"/>
          <w:sz w:val="32"/>
          <w:szCs w:val="32"/>
        </w:rPr>
        <w:t>2023年武进区</w:t>
      </w:r>
      <w:r>
        <w:rPr>
          <w:rFonts w:hint="eastAsia" w:ascii="黑体" w:hAnsi="黑体" w:eastAsia="黑体" w:cs="黑体"/>
          <w:sz w:val="32"/>
          <w:szCs w:val="32"/>
          <w:lang w:val="en-US" w:eastAsia="zh-CN"/>
        </w:rPr>
        <w:t>前黄中心小学</w:t>
      </w:r>
      <w:r>
        <w:rPr>
          <w:rFonts w:hint="eastAsia" w:ascii="黑体" w:hAnsi="黑体" w:eastAsia="黑体" w:cs="黑体"/>
          <w:sz w:val="32"/>
          <w:szCs w:val="32"/>
        </w:rPr>
        <w:t>应急演练工作计划表</w:t>
      </w:r>
    </w:p>
    <w:p>
      <w:pPr>
        <w:pStyle w:val="2"/>
        <w:spacing w:line="120" w:lineRule="exact"/>
      </w:pPr>
      <w:bookmarkStart w:id="0" w:name="_GoBack"/>
      <w:bookmarkEnd w:id="0"/>
    </w:p>
    <w:tbl>
      <w:tblPr>
        <w:tblStyle w:val="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2203"/>
        <w:gridCol w:w="811"/>
        <w:gridCol w:w="1043"/>
        <w:gridCol w:w="1391"/>
        <w:gridCol w:w="811"/>
        <w:gridCol w:w="65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Merge w:val="restart"/>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序号</w:t>
            </w:r>
          </w:p>
        </w:tc>
        <w:tc>
          <w:tcPr>
            <w:tcW w:w="2203" w:type="dxa"/>
            <w:vMerge w:val="restart"/>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拟演练预案名称</w:t>
            </w:r>
          </w:p>
        </w:tc>
        <w:tc>
          <w:tcPr>
            <w:tcW w:w="811" w:type="dxa"/>
            <w:vMerge w:val="restart"/>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拟演练</w:t>
            </w:r>
          </w:p>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时间</w:t>
            </w:r>
          </w:p>
        </w:tc>
        <w:tc>
          <w:tcPr>
            <w:tcW w:w="1043" w:type="dxa"/>
            <w:vMerge w:val="restart"/>
            <w:vAlign w:val="center"/>
          </w:tcPr>
          <w:p>
            <w:pPr>
              <w:jc w:val="center"/>
              <w:rPr>
                <w:rFonts w:ascii="仿宋_GB2312" w:hAnsi="仿宋" w:eastAsia="仿宋_GB2312" w:cs="仿宋_GB2312"/>
                <w:b/>
                <w:bCs/>
                <w:sz w:val="24"/>
                <w:szCs w:val="24"/>
              </w:rPr>
            </w:pPr>
            <w:r>
              <w:rPr>
                <w:rFonts w:hint="eastAsia" w:ascii="仿宋_GB2312" w:hAnsi="仿宋" w:eastAsia="仿宋_GB2312" w:cs="仿宋_GB2312"/>
                <w:b/>
                <w:bCs/>
                <w:sz w:val="24"/>
                <w:szCs w:val="24"/>
              </w:rPr>
              <w:t>拟演练</w:t>
            </w:r>
          </w:p>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地点</w:t>
            </w:r>
          </w:p>
        </w:tc>
        <w:tc>
          <w:tcPr>
            <w:tcW w:w="1391" w:type="dxa"/>
            <w:vMerge w:val="restart"/>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拟演练队伍</w:t>
            </w:r>
          </w:p>
        </w:tc>
        <w:tc>
          <w:tcPr>
            <w:tcW w:w="1464" w:type="dxa"/>
            <w:gridSpan w:val="2"/>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演练预案类型</w:t>
            </w:r>
          </w:p>
        </w:tc>
        <w:tc>
          <w:tcPr>
            <w:tcW w:w="2246" w:type="dxa"/>
            <w:vMerge w:val="restart"/>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指导部门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418" w:type="dxa"/>
            <w:vMerge w:val="continue"/>
            <w:vAlign w:val="center"/>
          </w:tcPr>
          <w:p>
            <w:pPr>
              <w:jc w:val="center"/>
              <w:rPr>
                <w:rFonts w:ascii="仿宋_GB2312" w:hAnsi="仿宋" w:eastAsia="仿宋_GB2312" w:cs="Times New Roman"/>
                <w:sz w:val="24"/>
                <w:szCs w:val="24"/>
              </w:rPr>
            </w:pPr>
          </w:p>
        </w:tc>
        <w:tc>
          <w:tcPr>
            <w:tcW w:w="2203" w:type="dxa"/>
            <w:vMerge w:val="continue"/>
            <w:vAlign w:val="center"/>
          </w:tcPr>
          <w:p>
            <w:pPr>
              <w:jc w:val="center"/>
              <w:rPr>
                <w:rFonts w:ascii="仿宋_GB2312" w:hAnsi="仿宋" w:eastAsia="仿宋_GB2312" w:cs="Times New Roman"/>
                <w:sz w:val="24"/>
                <w:szCs w:val="24"/>
              </w:rPr>
            </w:pPr>
          </w:p>
        </w:tc>
        <w:tc>
          <w:tcPr>
            <w:tcW w:w="811" w:type="dxa"/>
            <w:vMerge w:val="continue"/>
            <w:vAlign w:val="center"/>
          </w:tcPr>
          <w:p>
            <w:pPr>
              <w:jc w:val="center"/>
              <w:rPr>
                <w:rFonts w:ascii="仿宋_GB2312" w:hAnsi="仿宋" w:eastAsia="仿宋_GB2312" w:cs="Times New Roman"/>
                <w:sz w:val="24"/>
                <w:szCs w:val="24"/>
              </w:rPr>
            </w:pPr>
          </w:p>
        </w:tc>
        <w:tc>
          <w:tcPr>
            <w:tcW w:w="1043" w:type="dxa"/>
            <w:vMerge w:val="continue"/>
            <w:vAlign w:val="center"/>
          </w:tcPr>
          <w:p>
            <w:pPr>
              <w:jc w:val="center"/>
              <w:rPr>
                <w:rFonts w:ascii="仿宋_GB2312" w:hAnsi="仿宋" w:eastAsia="仿宋_GB2312" w:cs="Times New Roman"/>
                <w:sz w:val="24"/>
                <w:szCs w:val="24"/>
              </w:rPr>
            </w:pPr>
          </w:p>
        </w:tc>
        <w:tc>
          <w:tcPr>
            <w:tcW w:w="1391" w:type="dxa"/>
            <w:vMerge w:val="continue"/>
            <w:vAlign w:val="center"/>
          </w:tcPr>
          <w:p>
            <w:pPr>
              <w:jc w:val="center"/>
              <w:rPr>
                <w:rFonts w:ascii="仿宋_GB2312" w:hAnsi="仿宋" w:eastAsia="仿宋_GB2312" w:cs="Times New Roman"/>
                <w:sz w:val="24"/>
                <w:szCs w:val="24"/>
              </w:rPr>
            </w:pPr>
          </w:p>
        </w:tc>
        <w:tc>
          <w:tcPr>
            <w:tcW w:w="811" w:type="dxa"/>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专业性演练</w:t>
            </w:r>
          </w:p>
        </w:tc>
        <w:tc>
          <w:tcPr>
            <w:tcW w:w="653" w:type="dxa"/>
            <w:vAlign w:val="center"/>
          </w:tcPr>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综合性</w:t>
            </w:r>
          </w:p>
          <w:p>
            <w:pPr>
              <w:jc w:val="center"/>
              <w:rPr>
                <w:rFonts w:ascii="仿宋_GB2312" w:hAnsi="仿宋" w:eastAsia="仿宋_GB2312" w:cs="Times New Roman"/>
                <w:b/>
                <w:bCs/>
                <w:sz w:val="24"/>
                <w:szCs w:val="24"/>
              </w:rPr>
            </w:pPr>
            <w:r>
              <w:rPr>
                <w:rFonts w:hint="eastAsia" w:ascii="仿宋_GB2312" w:hAnsi="仿宋" w:eastAsia="仿宋_GB2312" w:cs="仿宋_GB2312"/>
                <w:b/>
                <w:bCs/>
                <w:sz w:val="24"/>
                <w:szCs w:val="24"/>
              </w:rPr>
              <w:t>演练</w:t>
            </w:r>
          </w:p>
        </w:tc>
        <w:tc>
          <w:tcPr>
            <w:tcW w:w="2246" w:type="dxa"/>
            <w:vMerge w:val="continue"/>
          </w:tcPr>
          <w:p>
            <w:pPr>
              <w:jc w:val="center"/>
              <w:rPr>
                <w:rFonts w:ascii="仿宋_GB2312" w:hAnsi="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消防演练</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3月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可邀请消防部门指导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2</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反恐防暴</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4月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保安人员</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可邀请公安部门指导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3</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地震疏散</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5</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可邀请地震（应急）部门指导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4</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气象、自然灾害（台风、暴雨等）</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6</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tc>
        <w:tc>
          <w:tcPr>
            <w:tcW w:w="811" w:type="dxa"/>
            <w:vAlign w:val="center"/>
          </w:tcPr>
          <w:p>
            <w:pPr>
              <w:jc w:val="center"/>
              <w:rPr>
                <w:rFonts w:ascii="仿宋_GB2312" w:hAnsi="仿宋" w:eastAsia="仿宋_GB2312" w:cs="Times New Roman"/>
                <w:sz w:val="24"/>
                <w:szCs w:val="24"/>
              </w:rPr>
            </w:pPr>
          </w:p>
        </w:tc>
        <w:tc>
          <w:tcPr>
            <w:tcW w:w="65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可邀请当地乡镇（街道）指导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5</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反恐防暴</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9</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实验室管理员</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可邀请应急部门指导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6</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实验室及危化品使用</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10</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保安人员</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可邀请公安部门指导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消防演练</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11</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tc>
        <w:tc>
          <w:tcPr>
            <w:tcW w:w="81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653" w:type="dxa"/>
            <w:vAlign w:val="center"/>
          </w:tcPr>
          <w:p>
            <w:pPr>
              <w:jc w:val="center"/>
              <w:rPr>
                <w:rFonts w:ascii="仿宋_GB2312" w:hAnsi="仿宋" w:eastAsia="仿宋_GB2312" w:cs="Times New Roman"/>
                <w:sz w:val="24"/>
                <w:szCs w:val="24"/>
              </w:rPr>
            </w:pP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可邀请消防部门指导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18" w:type="dxa"/>
            <w:vAlign w:val="center"/>
          </w:tcPr>
          <w:p>
            <w:pPr>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220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突发事件案例模拟训练（主题待定）</w:t>
            </w:r>
          </w:p>
        </w:tc>
        <w:tc>
          <w:tcPr>
            <w:tcW w:w="811" w:type="dxa"/>
            <w:vAlign w:val="center"/>
          </w:tcPr>
          <w:p>
            <w:pPr>
              <w:jc w:val="center"/>
              <w:rPr>
                <w:rFonts w:ascii="仿宋_GB2312" w:hAnsi="仿宋" w:eastAsia="仿宋_GB2312" w:cs="Times New Roman"/>
                <w:sz w:val="24"/>
                <w:szCs w:val="24"/>
              </w:rPr>
            </w:pPr>
            <w:r>
              <w:rPr>
                <w:rFonts w:ascii="仿宋_GB2312" w:hAnsi="仿宋" w:eastAsia="仿宋_GB2312" w:cs="仿宋_GB2312"/>
                <w:sz w:val="24"/>
                <w:szCs w:val="24"/>
              </w:rPr>
              <w:t>12</w:t>
            </w:r>
            <w:r>
              <w:rPr>
                <w:rFonts w:hint="eastAsia" w:ascii="仿宋_GB2312" w:hAnsi="仿宋" w:eastAsia="仿宋_GB2312" w:cs="仿宋_GB2312"/>
                <w:sz w:val="24"/>
                <w:szCs w:val="24"/>
              </w:rPr>
              <w:t>月</w:t>
            </w:r>
          </w:p>
        </w:tc>
        <w:tc>
          <w:tcPr>
            <w:tcW w:w="104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全区学校</w:t>
            </w:r>
          </w:p>
        </w:tc>
        <w:tc>
          <w:tcPr>
            <w:tcW w:w="1391"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学校师生</w:t>
            </w:r>
          </w:p>
        </w:tc>
        <w:tc>
          <w:tcPr>
            <w:tcW w:w="811" w:type="dxa"/>
            <w:vAlign w:val="center"/>
          </w:tcPr>
          <w:p>
            <w:pPr>
              <w:jc w:val="center"/>
              <w:rPr>
                <w:rFonts w:ascii="仿宋_GB2312" w:hAnsi="仿宋" w:eastAsia="仿宋_GB2312" w:cs="Times New Roman"/>
                <w:sz w:val="24"/>
                <w:szCs w:val="24"/>
              </w:rPr>
            </w:pPr>
          </w:p>
        </w:tc>
        <w:tc>
          <w:tcPr>
            <w:tcW w:w="653"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w:t>
            </w:r>
          </w:p>
        </w:tc>
        <w:tc>
          <w:tcPr>
            <w:tcW w:w="2246" w:type="dxa"/>
            <w:vAlign w:val="center"/>
          </w:tcPr>
          <w:p>
            <w:pPr>
              <w:jc w:val="center"/>
              <w:rPr>
                <w:rFonts w:ascii="仿宋_GB2312" w:hAnsi="仿宋" w:eastAsia="仿宋_GB2312" w:cs="Times New Roman"/>
                <w:sz w:val="24"/>
                <w:szCs w:val="24"/>
              </w:rPr>
            </w:pPr>
            <w:r>
              <w:rPr>
                <w:rFonts w:hint="eastAsia" w:ascii="仿宋_GB2312" w:hAnsi="仿宋" w:eastAsia="仿宋_GB2312" w:cs="仿宋_GB2312"/>
                <w:sz w:val="24"/>
                <w:szCs w:val="24"/>
              </w:rPr>
              <w:t>可邀请相关部门指导</w:t>
            </w:r>
          </w:p>
        </w:tc>
      </w:tr>
    </w:tbl>
    <w:p>
      <w:pPr>
        <w:spacing w:line="300" w:lineRule="exact"/>
        <w:rPr>
          <w:rFonts w:ascii="仿宋_GB2312" w:eastAsia="仿宋_GB2312" w:cs="Times New Roman"/>
          <w:b/>
          <w:bCs/>
          <w:sz w:val="24"/>
          <w:szCs w:val="24"/>
        </w:rPr>
      </w:pPr>
    </w:p>
    <w:p>
      <w:pPr>
        <w:spacing w:line="300" w:lineRule="exact"/>
        <w:rPr>
          <w:rFonts w:hint="eastAsia"/>
          <w:lang w:val="en-US" w:eastAsia="zh-CN"/>
        </w:rPr>
      </w:pPr>
      <w:r>
        <w:rPr>
          <w:rFonts w:hint="eastAsia" w:ascii="仿宋_GB2312" w:eastAsia="仿宋_GB2312" w:cs="仿宋_GB2312"/>
          <w:b/>
          <w:bCs/>
          <w:sz w:val="24"/>
          <w:szCs w:val="24"/>
        </w:rPr>
        <w:t>备注：按照教育部《中小学幼儿园应急疏散演练指南》要求，中小学每月不少于一次，幼儿园每季度不少于一次，提高学校突发事件应急处置能力和学生安全防范意识、自救自护技能。各地教育行政部门参照执行，科学制订本地区中小学、幼儿园应急演练计划，组织应急演练。使用校车学校每学期应安排一次校车疏散演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Q3NzlhNjY3YzIyMmRjYjc2OTdiYmZlNzJmOTcifQ=="/>
  </w:docVars>
  <w:rsids>
    <w:rsidRoot w:val="00000000"/>
    <w:rsid w:val="0CA470BA"/>
    <w:rsid w:val="37BF7375"/>
    <w:rsid w:val="6822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宋体"/>
      <w:b/>
      <w:bCs/>
      <w:szCs w:val="32"/>
    </w:rPr>
  </w:style>
  <w:style w:type="paragraph" w:styleId="3">
    <w:name w:val="Body Text"/>
    <w:basedOn w:val="1"/>
    <w:qFormat/>
    <w:uiPriority w:val="0"/>
    <w:pPr>
      <w:autoSpaceDE w:val="0"/>
      <w:autoSpaceDN w:val="0"/>
      <w:jc w:val="left"/>
    </w:pPr>
    <w:rPr>
      <w:rFonts w:ascii="宋体" w:hAnsi="宋体" w:cs="宋体"/>
      <w:kern w:val="0"/>
      <w:sz w:val="30"/>
      <w:szCs w:val="3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3655</Words>
  <Characters>3707</Characters>
  <Lines>0</Lines>
  <Paragraphs>0</Paragraphs>
  <TotalTime>2</TotalTime>
  <ScaleCrop>false</ScaleCrop>
  <LinksUpToDate>false</LinksUpToDate>
  <CharactersWithSpaces>3748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2023-02-05T00:19:11Z</dcterms:created>
  <dc:creator>Lenovo</dc:creator>
  <cp:lastModifiedBy>春风拂面3</cp:lastModifiedBy>
  <dcterms:modified xsi:type="dcterms:W3CDTF">2023-02-05T07:06:37Z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B22F5CB71B7444D386438F452A7B787E</vt:lpwstr>
  </property>
</Properties>
</file>