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53" w:firstLineChars="250"/>
        <w:rPr>
          <w:b/>
          <w:sz w:val="30"/>
          <w:szCs w:val="30"/>
        </w:rPr>
      </w:pPr>
      <w:r>
        <w:rPr>
          <w:rFonts w:hint="eastAsia"/>
          <w:b/>
          <w:sz w:val="30"/>
          <w:szCs w:val="30"/>
        </w:rPr>
        <w:t>前黄中心小学五级梯队教师及名班主任课堂教学听课</w:t>
      </w:r>
      <w:r>
        <w:rPr>
          <w:b/>
          <w:sz w:val="30"/>
          <w:szCs w:val="30"/>
        </w:rPr>
        <w:t>反思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1925"/>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ind w:firstLine="120" w:firstLineChars="50"/>
              <w:rPr>
                <w:b/>
                <w:sz w:val="24"/>
                <w:szCs w:val="24"/>
              </w:rPr>
            </w:pPr>
            <w:r>
              <w:rPr>
                <w:rFonts w:hint="eastAsia"/>
                <w:b/>
                <w:sz w:val="24"/>
                <w:szCs w:val="24"/>
              </w:rPr>
              <w:t>听课</w:t>
            </w:r>
            <w:r>
              <w:rPr>
                <w:b/>
                <w:sz w:val="24"/>
                <w:szCs w:val="24"/>
              </w:rPr>
              <w:t>时间</w:t>
            </w:r>
          </w:p>
        </w:tc>
        <w:tc>
          <w:tcPr>
            <w:tcW w:w="1925" w:type="dxa"/>
          </w:tcPr>
          <w:p>
            <w:pPr>
              <w:ind w:firstLine="241" w:firstLineChars="100"/>
              <w:rPr>
                <w:b/>
                <w:sz w:val="24"/>
                <w:szCs w:val="24"/>
              </w:rPr>
            </w:pPr>
            <w:r>
              <w:rPr>
                <w:rFonts w:hint="eastAsia"/>
                <w:b/>
                <w:sz w:val="24"/>
                <w:szCs w:val="24"/>
              </w:rPr>
              <w:t>听课</w:t>
            </w:r>
            <w:r>
              <w:rPr>
                <w:b/>
                <w:sz w:val="24"/>
                <w:szCs w:val="24"/>
              </w:rPr>
              <w:t>内容</w:t>
            </w:r>
          </w:p>
        </w:tc>
        <w:tc>
          <w:tcPr>
            <w:tcW w:w="1926" w:type="dxa"/>
          </w:tcPr>
          <w:p>
            <w:pPr>
              <w:ind w:firstLine="241" w:firstLineChars="100"/>
              <w:rPr>
                <w:b/>
                <w:sz w:val="24"/>
                <w:szCs w:val="24"/>
              </w:rPr>
            </w:pPr>
            <w:r>
              <w:rPr>
                <w:rFonts w:hint="eastAsia"/>
                <w:b/>
                <w:sz w:val="24"/>
                <w:szCs w:val="24"/>
              </w:rPr>
              <w:t>学  科</w:t>
            </w:r>
          </w:p>
        </w:tc>
        <w:tc>
          <w:tcPr>
            <w:tcW w:w="1926" w:type="dxa"/>
          </w:tcPr>
          <w:p>
            <w:pPr>
              <w:ind w:firstLine="120" w:firstLineChars="50"/>
              <w:rPr>
                <w:b/>
                <w:sz w:val="24"/>
                <w:szCs w:val="24"/>
              </w:rPr>
            </w:pPr>
            <w:r>
              <w:rPr>
                <w:rFonts w:hint="eastAsia"/>
                <w:b/>
                <w:sz w:val="24"/>
                <w:szCs w:val="24"/>
              </w:rPr>
              <w:t>上课</w:t>
            </w:r>
            <w:r>
              <w:rPr>
                <w:b/>
                <w:sz w:val="24"/>
                <w:szCs w:val="24"/>
              </w:rPr>
              <w:t>班级</w:t>
            </w:r>
          </w:p>
        </w:tc>
        <w:tc>
          <w:tcPr>
            <w:tcW w:w="1926" w:type="dxa"/>
          </w:tcPr>
          <w:p>
            <w:pPr>
              <w:ind w:firstLine="120" w:firstLineChars="50"/>
              <w:rPr>
                <w:b/>
                <w:sz w:val="24"/>
                <w:szCs w:val="24"/>
              </w:rPr>
            </w:pPr>
            <w:r>
              <w:rPr>
                <w:rFonts w:hint="eastAsia"/>
                <w:b/>
                <w:sz w:val="24"/>
                <w:szCs w:val="24"/>
              </w:rPr>
              <w:t>执教</w:t>
            </w:r>
            <w:r>
              <w:rPr>
                <w:b/>
                <w:sz w:val="24"/>
                <w:szCs w:val="24"/>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925" w:type="dxa"/>
          </w:tcPr>
          <w:p>
            <w:pPr>
              <w:rPr>
                <w:b/>
                <w:sz w:val="24"/>
                <w:szCs w:val="24"/>
              </w:rPr>
            </w:pPr>
            <w:r>
              <w:rPr>
                <w:rFonts w:hint="eastAsia"/>
                <w:b/>
                <w:sz w:val="24"/>
                <w:szCs w:val="24"/>
              </w:rPr>
              <w:t>2022.5.25</w:t>
            </w:r>
          </w:p>
        </w:tc>
        <w:tc>
          <w:tcPr>
            <w:tcW w:w="1925" w:type="dxa"/>
          </w:tcPr>
          <w:p>
            <w:pPr>
              <w:rPr>
                <w:b/>
                <w:sz w:val="24"/>
                <w:szCs w:val="24"/>
              </w:rPr>
            </w:pPr>
            <w:r>
              <w:rPr>
                <w:rFonts w:hint="eastAsia"/>
                <w:b/>
                <w:sz w:val="24"/>
                <w:szCs w:val="24"/>
              </w:rPr>
              <w:t>U7 On the farm</w:t>
            </w:r>
          </w:p>
        </w:tc>
        <w:tc>
          <w:tcPr>
            <w:tcW w:w="1926" w:type="dxa"/>
          </w:tcPr>
          <w:p>
            <w:pPr>
              <w:ind w:firstLine="236" w:firstLineChars="98"/>
              <w:rPr>
                <w:b/>
                <w:sz w:val="24"/>
                <w:szCs w:val="24"/>
              </w:rPr>
            </w:pPr>
            <w:r>
              <w:rPr>
                <w:rFonts w:hint="eastAsia"/>
                <w:b/>
                <w:sz w:val="24"/>
                <w:szCs w:val="24"/>
              </w:rPr>
              <w:t>英语</w:t>
            </w:r>
          </w:p>
        </w:tc>
        <w:tc>
          <w:tcPr>
            <w:tcW w:w="1926" w:type="dxa"/>
          </w:tcPr>
          <w:p>
            <w:pPr>
              <w:rPr>
                <w:b/>
                <w:sz w:val="24"/>
                <w:szCs w:val="24"/>
              </w:rPr>
            </w:pPr>
            <w:r>
              <w:rPr>
                <w:rFonts w:hint="eastAsia"/>
                <w:b/>
                <w:sz w:val="24"/>
                <w:szCs w:val="24"/>
              </w:rPr>
              <w:t xml:space="preserve"> 三（3）班</w:t>
            </w:r>
          </w:p>
        </w:tc>
        <w:tc>
          <w:tcPr>
            <w:tcW w:w="1926" w:type="dxa"/>
          </w:tcPr>
          <w:p>
            <w:pPr>
              <w:rPr>
                <w:b/>
                <w:sz w:val="24"/>
                <w:szCs w:val="24"/>
              </w:rPr>
            </w:pPr>
            <w:r>
              <w:rPr>
                <w:rFonts w:hint="eastAsia"/>
                <w:b/>
                <w:sz w:val="24"/>
                <w:szCs w:val="24"/>
              </w:rPr>
              <w:t>周礼东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b/>
                <w:sz w:val="24"/>
                <w:szCs w:val="24"/>
              </w:rPr>
            </w:pPr>
          </w:p>
        </w:tc>
        <w:tc>
          <w:tcPr>
            <w:tcW w:w="1925" w:type="dxa"/>
          </w:tcPr>
          <w:p>
            <w:pPr>
              <w:rPr>
                <w:b/>
                <w:sz w:val="24"/>
                <w:szCs w:val="24"/>
              </w:rPr>
            </w:pPr>
          </w:p>
        </w:tc>
        <w:tc>
          <w:tcPr>
            <w:tcW w:w="1926" w:type="dxa"/>
          </w:tcPr>
          <w:p>
            <w:pPr>
              <w:rPr>
                <w:b/>
                <w:sz w:val="24"/>
                <w:szCs w:val="24"/>
              </w:rPr>
            </w:pPr>
          </w:p>
        </w:tc>
        <w:tc>
          <w:tcPr>
            <w:tcW w:w="1926" w:type="dxa"/>
          </w:tcPr>
          <w:p>
            <w:pPr>
              <w:rPr>
                <w:b/>
                <w:sz w:val="24"/>
                <w:szCs w:val="24"/>
              </w:rPr>
            </w:pPr>
          </w:p>
        </w:tc>
        <w:tc>
          <w:tcPr>
            <w:tcW w:w="1926" w:type="dxa"/>
          </w:tcPr>
          <w:p>
            <w:pP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tcPr>
          <w:p>
            <w:pPr>
              <w:ind w:firstLine="3614" w:firstLineChars="1500"/>
              <w:rPr>
                <w:b/>
                <w:sz w:val="24"/>
                <w:szCs w:val="24"/>
              </w:rPr>
            </w:pPr>
            <w:r>
              <w:rPr>
                <w:rFonts w:hint="eastAsia"/>
                <w:b/>
                <w:sz w:val="24"/>
                <w:szCs w:val="24"/>
              </w:rPr>
              <w:t>听课</w:t>
            </w:r>
            <w:r>
              <w:rPr>
                <w:b/>
                <w:sz w:val="24"/>
                <w:szCs w:val="24"/>
              </w:rPr>
              <w:t>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9628" w:type="dxa"/>
            <w:gridSpan w:val="5"/>
          </w:tcPr>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本节课是</w:t>
            </w:r>
            <w:r>
              <w:rPr>
                <w:rFonts w:hint="eastAsia" w:ascii="宋体" w:hAnsi="宋体" w:eastAsia="宋体" w:cs="宋体"/>
                <w:sz w:val="24"/>
                <w:szCs w:val="24"/>
                <w:lang w:eastAsia="zh-CN"/>
              </w:rPr>
              <w:t>第三课时，</w:t>
            </w:r>
            <w:r>
              <w:rPr>
                <w:rFonts w:hint="eastAsia" w:ascii="宋体" w:hAnsi="宋体" w:eastAsia="宋体" w:cs="宋体"/>
                <w:sz w:val="24"/>
                <w:szCs w:val="24"/>
              </w:rPr>
              <w:t>周老师不是简单的让学生重复读来记忆，而是通过游戏方式让学生在玩中自然而然掌握本单元重点向型和单词，为了将两个部分有机结合 ，周老师设计了情境，在对话中复习了句型“What’s this/that?〞以及句型“What are these/those?随后 Sam 去了果园闯关，同桌对话巩固句型“Arethese/those.</w:t>
            </w:r>
            <w:r>
              <w:rPr>
                <w:rFonts w:hint="eastAsia" w:ascii="宋体" w:hAnsi="宋体" w:eastAsia="宋体" w:cs="宋体"/>
                <w:sz w:val="24"/>
                <w:szCs w:val="24"/>
                <w:lang w:val="en-US" w:eastAsia="zh-CN"/>
              </w:rPr>
              <w:t>”周老师通过闯关让学生一步一步学习和复习，设计巧妙，学生乐于参与，积极性高。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周老师注重以学生为本，从学生实际出发，从学生的“最近发展区〞出发，通过学生身边的话题处理可能不熟的词，并在交流中随机处理了教学难点。在教学过程中，周老师根据学生现有的知识水平，先通过询问 What’s this? what’s that？ 先由谈论单个的物品，逐步向谈论复数物品过渡，教授复数。然后通过创设一个情境教授song time及sound time。通过水果步步深入，由词到短语，再到短句。Song time环节中，由之前所学动物的发音单词创编新歌曲，学生热情高涨，参与度高。最后在这个快乐的农场上，学生们个个兴趣盎然，完全融入到角色中来体会语言、运用语言，课堂的气氛相当活跃。同时，教学过程中组织学生通过有趣的游戏和小组或结对问答进行操练，学生兴趣高涨，促进了句型的内化、吸收并能将之融入对话练习。作为一名小学英语教师，</w:t>
            </w:r>
            <w:r>
              <w:rPr>
                <w:rFonts w:hint="eastAsia" w:ascii="宋体" w:hAnsi="宋体" w:eastAsia="宋体" w:cs="宋体"/>
                <w:sz w:val="24"/>
                <w:szCs w:val="24"/>
                <w:lang w:eastAsia="zh-CN"/>
              </w:rPr>
              <w:t>我们</w:t>
            </w:r>
            <w:bookmarkStart w:id="0" w:name="_GoBack"/>
            <w:bookmarkEnd w:id="0"/>
            <w:r>
              <w:rPr>
                <w:rFonts w:hint="eastAsia" w:ascii="宋体" w:hAnsi="宋体" w:eastAsia="宋体" w:cs="宋体"/>
                <w:sz w:val="24"/>
                <w:szCs w:val="24"/>
              </w:rPr>
              <w:t>倘若仅满足于对单词、句型的解释和分析，而不求助于生活情境的感染和形象的描述，就会使课堂显得语言平淡、气氛沉闷，学生不能全身心地投入英语学习和运用中,就连原有的兴趣也将很快丧失殆尽。所以作为教师，就应该重视生活情境教学，让生活走进英语课堂。只有让学生在生活中学习、在学习中生活，学生在学中用、用中学，提高语言的</w:t>
            </w:r>
            <w:r>
              <w:rPr>
                <w:rFonts w:hint="eastAsia" w:ascii="宋体" w:hAnsi="宋体" w:eastAsia="宋体" w:cs="宋体"/>
                <w:sz w:val="24"/>
                <w:szCs w:val="24"/>
                <w:lang w:eastAsia="zh-CN"/>
              </w:rPr>
              <w:t>综合运用</w:t>
            </w:r>
            <w:r>
              <w:rPr>
                <w:rFonts w:hint="eastAsia" w:ascii="宋体" w:hAnsi="宋体" w:eastAsia="宋体" w:cs="宋体"/>
                <w:sz w:val="24"/>
                <w:szCs w:val="24"/>
              </w:rPr>
              <w:t xml:space="preserve">能力。 </w:t>
            </w:r>
          </w:p>
          <w:p>
            <w:pPr>
              <w:ind w:firstLine="480" w:firstLineChars="200"/>
              <w:rPr>
                <w:rFonts w:ascii="Times New Roman" w:hAnsi="Times New Roman" w:cs="Times New Roman"/>
                <w:sz w:val="24"/>
                <w:szCs w:val="24"/>
              </w:rPr>
            </w:pPr>
          </w:p>
          <w:p>
            <w:pPr>
              <w:ind w:firstLine="480" w:firstLineChars="200"/>
              <w:rPr>
                <w:rFonts w:ascii="Times New Roman" w:hAnsi="Times New Roman" w:cs="Times New Roman"/>
                <w:sz w:val="24"/>
                <w:szCs w:val="24"/>
              </w:rPr>
            </w:pPr>
          </w:p>
          <w:p>
            <w:pPr>
              <w:ind w:firstLine="480" w:firstLineChars="200"/>
              <w:rPr>
                <w:rFonts w:ascii="Times New Roman" w:hAnsi="Times New Roman" w:cs="Times New Roman"/>
                <w:sz w:val="24"/>
                <w:szCs w:val="24"/>
              </w:rPr>
            </w:pPr>
          </w:p>
          <w:p>
            <w:pPr>
              <w:ind w:firstLine="480" w:firstLineChars="200"/>
              <w:rPr>
                <w:rFonts w:ascii="Times New Roman" w:hAnsi="Times New Roman" w:cs="Times New Roman"/>
                <w:sz w:val="24"/>
                <w:szCs w:val="24"/>
              </w:rPr>
            </w:pPr>
          </w:p>
          <w:p>
            <w:pPr>
              <w:ind w:firstLine="480" w:firstLineChars="200"/>
              <w:rPr>
                <w:rFonts w:ascii="Times New Roman" w:hAnsi="Times New Roman" w:cs="Times New Roman"/>
                <w:sz w:val="24"/>
                <w:szCs w:val="24"/>
              </w:rPr>
            </w:pPr>
          </w:p>
          <w:p>
            <w:pPr>
              <w:ind w:firstLine="480" w:firstLineChars="200"/>
              <w:rPr>
                <w:rFonts w:ascii="Times New Roman" w:hAnsi="Times New Roman" w:cs="Times New Roman"/>
                <w:sz w:val="24"/>
                <w:szCs w:val="24"/>
              </w:rPr>
            </w:pPr>
            <w:r>
              <w:rPr>
                <w:rFonts w:ascii="Times New Roman" w:hAnsi="Times New Roman" w:cs="Times New Roman"/>
                <w:sz w:val="24"/>
                <w:szCs w:val="24"/>
              </w:rPr>
              <w:t xml:space="preserve"> </w:t>
            </w:r>
          </w:p>
          <w:p>
            <w:pPr>
              <w:rPr>
                <w:rFonts w:hint="eastAsia" w:eastAsiaTheme="minorEastAsia"/>
                <w:b/>
                <w:sz w:val="24"/>
                <w:szCs w:val="24"/>
                <w:lang w:eastAsia="zh-CN"/>
              </w:rPr>
            </w:pPr>
            <w:r>
              <w:rPr>
                <w:b/>
                <w:sz w:val="30"/>
                <w:szCs w:val="30"/>
              </w:rPr>
              <w:t xml:space="preserve">                                            </w:t>
            </w:r>
            <w:r>
              <w:rPr>
                <w:b/>
                <w:sz w:val="24"/>
                <w:szCs w:val="24"/>
              </w:rPr>
              <w:t xml:space="preserve"> </w:t>
            </w:r>
            <w:r>
              <w:rPr>
                <w:rFonts w:hint="eastAsia"/>
                <w:b/>
                <w:sz w:val="24"/>
                <w:szCs w:val="24"/>
              </w:rPr>
              <w:t>反思人</w:t>
            </w:r>
            <w:r>
              <w:rPr>
                <w:b/>
                <w:sz w:val="24"/>
                <w:szCs w:val="24"/>
              </w:rPr>
              <w:t>：</w:t>
            </w:r>
            <w:r>
              <w:rPr>
                <w:rFonts w:hint="eastAsia"/>
                <w:b/>
                <w:sz w:val="24"/>
                <w:szCs w:val="24"/>
                <w:lang w:eastAsia="zh-CN"/>
              </w:rPr>
              <w:t>汤婷</w:t>
            </w:r>
          </w:p>
        </w:tc>
      </w:tr>
    </w:tbl>
    <w:p>
      <w:pPr>
        <w:rPr>
          <w:b/>
          <w:sz w:val="30"/>
          <w:szCs w:val="30"/>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F2"/>
    <w:rsid w:val="003179F2"/>
    <w:rsid w:val="003B5C62"/>
    <w:rsid w:val="004A7538"/>
    <w:rsid w:val="00FE704D"/>
    <w:rsid w:val="34035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244</Words>
  <Characters>1397</Characters>
  <Lines>11</Lines>
  <Paragraphs>3</Paragraphs>
  <TotalTime>14</TotalTime>
  <ScaleCrop>false</ScaleCrop>
  <LinksUpToDate>false</LinksUpToDate>
  <CharactersWithSpaces>1638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2022-06-02T07:25:00Z</dcterms:created>
  <dc:creator>王霞</dc:creator>
  <cp:lastModifiedBy>Administrator</cp:lastModifiedBy>
  <dcterms:modified xsi:type="dcterms:W3CDTF">2022-06-02T08:19:08Z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