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606" w:firstLineChars="500"/>
        <w:rPr>
          <w:rFonts w:hint="eastAsia" w:ascii="ˎ̥" w:hAnsi="ˎ̥"/>
          <w:b/>
          <w:sz w:val="32"/>
          <w:szCs w:val="32"/>
        </w:rPr>
      </w:pPr>
      <w:r>
        <w:rPr>
          <w:rFonts w:hint="eastAsia" w:ascii="ˎ̥" w:hAnsi="ˎ̥"/>
          <w:b/>
          <w:sz w:val="32"/>
          <w:szCs w:val="32"/>
        </w:rPr>
        <w:t>前黄中心小学教师读书交流记录表</w:t>
      </w:r>
    </w:p>
    <w:p>
      <w:pPr>
        <w:spacing w:line="440" w:lineRule="exact"/>
        <w:ind w:firstLine="1269" w:firstLineChars="395"/>
        <w:rPr>
          <w:rFonts w:hint="eastAsia" w:ascii="ˎ̥" w:hAnsi="ˎ̥"/>
          <w:b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800"/>
        <w:gridCol w:w="1620"/>
        <w:gridCol w:w="1440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ˎ̥" w:hAnsi="ˎ̥" w:eastAsia="宋体"/>
                <w:b/>
                <w:sz w:val="28"/>
                <w:szCs w:val="28"/>
                <w:lang w:val="en-US" w:eastAsia="zh-CN"/>
              </w:rPr>
              <w:t>陆华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>任教年级、学科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40" w:lineRule="exact"/>
              <w:ind w:firstLine="241" w:firstLineChars="100"/>
              <w:rPr>
                <w:rFonts w:hint="default" w:ascii="ˎ̥" w:hAnsi="ˎ̥" w:eastAsia="宋体"/>
                <w:b/>
                <w:sz w:val="24"/>
                <w:lang w:val="en-US" w:eastAsia="zh-CN"/>
              </w:rPr>
            </w:pPr>
            <w:r>
              <w:rPr>
                <w:rFonts w:hint="eastAsia" w:ascii="ˎ̥" w:hAnsi="ˎ̥" w:eastAsia="宋体"/>
                <w:b/>
                <w:sz w:val="24"/>
                <w:lang w:val="en-US" w:eastAsia="zh-CN"/>
              </w:rPr>
              <w:t>三数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440" w:lineRule="exact"/>
              <w:rPr>
                <w:rFonts w:hint="default" w:ascii="ˎ̥" w:hAnsi="ˎ̥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202</w:t>
            </w:r>
            <w:r>
              <w:rPr>
                <w:rFonts w:hint="eastAsia" w:ascii="ˎ̥" w:hAnsi="ˎ̥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ˎ̥" w:hAnsi="ˎ̥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ˎ̥" w:hAnsi="ˎ̥"/>
                <w:b/>
                <w:sz w:val="28"/>
                <w:szCs w:val="28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《课程透视》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3" w:hRule="atLeast"/>
        </w:trPr>
        <w:tc>
          <w:tcPr>
            <w:tcW w:w="847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内容摘要</w:t>
            </w:r>
          </w:p>
          <w:p>
            <w:pPr>
              <w:ind w:firstLine="54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</w:rPr>
              <w:t>成尚荣指出，陶行知的大教育观表现在三个“打破”：打破学校与社会的阻隔，提倡生活即教育，社会即学校，使学校向社会开放，构建大的教育系统；打破个体教育时限的阻隔，提倡终身教育；打破知识教育与实践教育的阻隔，提倡教学做合一。课改的重点是培养孩子的创新精神和实践能力，归根究底就是关注人的发展。关于学生的发展，近期提的最多的莫过于“核心素养”，传统的课程设置重知识、轻实践，如何能通过课程设置来改变这种情况，进而培养孩子的“核心素养”呢？陶行知的大课程观给了我们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</w:trPr>
        <w:tc>
          <w:tcPr>
            <w:tcW w:w="8472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 xml:space="preserve">                         读书心得</w:t>
            </w:r>
          </w:p>
          <w:p>
            <w:pPr>
              <w:spacing w:line="440" w:lineRule="exact"/>
              <w:ind w:firstLine="54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</w:rPr>
              <w:t>“生活教育理论”是陶行知先生教育思想的主线和重要基石，它的精神内涵十分明确，即大众教育。他认为脱离生活，脱离劳动的传统教育，会扼杀儿童的身心发展，其结果培养的是一群社会、自然、生活，都可以是我们的课程资源，我们要善于发掘身边的教学资源。只有我们的活动是面向学生生活实际的，才能引起学生的共鸣，学生才有感性的认知。无用的没有创新精神和胆略的“书呆子”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B0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JaneY</cp:lastModifiedBy>
  <dcterms:modified xsi:type="dcterms:W3CDTF">2022-03-08T06:16:06Z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B9BBA466C0694BD79A30689DF578ECC6</vt:lpwstr>
  </property>
</Properties>
</file>