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6"/>
          <w:sz w:val="28"/>
          <w:szCs w:val="28"/>
          <w:shd w:val="clear" w:color="auto" w:fill="FFFFFF"/>
          <w:lang w:val="en-US" w:eastAsia="zh-CN"/>
        </w:rPr>
        <w:t>孟河中学“指向‘五要素’生本课堂”的教与学观察分析表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8" w:firstLineChars="400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6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21"/>
          <w:szCs w:val="21"/>
          <w:shd w:val="clear" w:color="auto" w:fill="FFFFFF"/>
          <w:lang w:val="en-US" w:eastAsia="zh-CN"/>
        </w:rPr>
        <w:t>学科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21"/>
          <w:szCs w:val="21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21"/>
          <w:szCs w:val="21"/>
          <w:shd w:val="clear" w:color="auto" w:fill="FFFFFF"/>
          <w:lang w:val="en-US" w:eastAsia="zh-CN"/>
        </w:rPr>
        <w:t xml:space="preserve">  班级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21"/>
          <w:szCs w:val="21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21"/>
          <w:szCs w:val="21"/>
          <w:shd w:val="clear" w:color="auto" w:fill="FFFFFF"/>
          <w:lang w:val="en-US" w:eastAsia="zh-CN"/>
        </w:rPr>
        <w:t xml:space="preserve"> 执教老师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21"/>
          <w:szCs w:val="21"/>
          <w:u w:val="single"/>
          <w:shd w:val="clear" w:color="auto" w:fill="FFFFFF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page" w:horzAnchor="page" w:tblpX="1627" w:tblpY="2842"/>
        <w:tblOverlap w:val="never"/>
        <w:tblW w:w="833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3451"/>
        <w:gridCol w:w="190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tblCellSpacing w:w="0" w:type="dxa"/>
        </w:trPr>
        <w:tc>
          <w:tcPr>
            <w:tcW w:w="5443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“指向‘五要素’生本课堂”的课堂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观察视角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存在问题或教学亮点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视角一：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清晰地授课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基于学生经验分析的恰当的学习目标  </w:t>
            </w:r>
          </w:p>
        </w:tc>
        <w:tc>
          <w:tcPr>
            <w:tcW w:w="190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2、适合学生的恰当学习材料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3、基于目标结合所选材料建构适恰的大任务组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4、为学生提供清晰简洁亲切机智的语言表达与示范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6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视角二：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任务导向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5、学习任务的二次分解 </w:t>
            </w:r>
          </w:p>
        </w:tc>
        <w:tc>
          <w:tcPr>
            <w:tcW w:w="190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6、学习任务具有操作性、层次性 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7、学习任务具有探究性空间 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983" w:leftChars="0" w:hanging="983" w:hangingChars="408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视角三：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6" w:leftChars="0"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学习方式的多样化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8、方式的多样（教师引导、独立思考、 同伴、小组互帮、交流 ）</w:t>
            </w:r>
          </w:p>
        </w:tc>
        <w:tc>
          <w:tcPr>
            <w:tcW w:w="190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9、媒体技术的支持恰当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2" w:hanging="964" w:hangingChars="4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视角四：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" w:leftChars="0"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组织学生积极投入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10、学习方式与学习任务的匹配 </w:t>
            </w:r>
          </w:p>
        </w:tc>
        <w:tc>
          <w:tcPr>
            <w:tcW w:w="190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2" w:hanging="964" w:hangingChars="4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11、教师及时巡视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12、指导学生积极投入学习  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视角五：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确保成功率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13、走进学生、关注个体      </w:t>
            </w:r>
          </w:p>
        </w:tc>
        <w:tc>
          <w:tcPr>
            <w:tcW w:w="190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14、典型资源交流、点拨归纳，难点有突破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tblCellSpacing w:w="0" w:type="dxa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15、有学习的内化时间    </w:t>
            </w:r>
          </w:p>
        </w:tc>
        <w:tc>
          <w:tcPr>
            <w:tcW w:w="19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分析</w:t>
      </w:r>
      <w:bookmarkStart w:id="0" w:name="_GoBack"/>
      <w:bookmarkEnd w:id="0"/>
      <w:r>
        <w:rPr>
          <w:rFonts w:hint="eastAsia"/>
          <w:lang w:val="en-US" w:eastAsia="zh-CN"/>
        </w:rPr>
        <w:t>人：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default" w:eastAsia="宋体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年   月   日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汉仪瑞意宋W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2F9C"/>
    <w:rsid w:val="153F7205"/>
    <w:rsid w:val="2C204189"/>
    <w:rsid w:val="70AF4206"/>
    <w:rsid w:val="7F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2022-02-16T23:48:00Z</dcterms:created>
  <dc:creator>萍水相逢</dc:creator>
  <cp:lastModifiedBy>苍海轮回</cp:lastModifiedBy>
  <dcterms:modified xsi:type="dcterms:W3CDTF">2022-02-17T01:54:06Z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0D69443DCC8E470BAF9B4A4D1DFAA2B9</vt:lpwstr>
  </property>
</Properties>
</file>