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margin" w:tblpXSpec="center" w:tblpY="1597"/>
        <w:tblOverlap w:val="never"/>
        <w:tblW w:w="10665" w:type="dxa"/>
        <w:tblCellSpacing w:w="15" w:type="dxa"/>
        <w:tblInd w:w="0" w:type="dxa"/>
        <w:tblLayout w:type="fixed"/>
        <w:tblCellMar>
          <w:top w:w="15" w:type="dxa"/>
          <w:left w:w="15" w:type="dxa"/>
          <w:bottom w:w="15" w:type="dxa"/>
          <w:right w:w="15" w:type="dxa"/>
        </w:tblCellMar>
      </w:tblPr>
      <w:tblGrid>
        <w:gridCol w:w="1221"/>
        <w:gridCol w:w="1130"/>
        <w:gridCol w:w="2474"/>
        <w:gridCol w:w="1653"/>
        <w:gridCol w:w="1188"/>
        <w:gridCol w:w="2999"/>
      </w:tblGrid>
      <w:tr>
        <w:tblPrEx>
          <w:tblLayout w:type="fixed"/>
          <w:tblCellMar>
            <w:top w:w="15" w:type="dxa"/>
            <w:left w:w="15" w:type="dxa"/>
            <w:bottom w:w="15" w:type="dxa"/>
            <w:right w:w="15" w:type="dxa"/>
          </w:tblCellMar>
        </w:tblPrEx>
        <w:trPr>
          <w:trHeight w:val="495" w:hRule="atLeast"/>
          <w:tblCellSpacing w:w="15" w:type="dxa"/>
        </w:trPr>
        <w:tc>
          <w:tcPr>
            <w:tcW w:w="117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6"/>
                <w:rFonts w:hint="eastAsia" w:ascii="宋体" w:hAnsi="宋体" w:cs="宋体"/>
                <w:color w:val="000000"/>
                <w:spacing w:val="15"/>
              </w:rPr>
              <w:t>学习者</w:t>
            </w:r>
          </w:p>
        </w:tc>
        <w:tc>
          <w:tcPr>
            <w:tcW w:w="110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both"/>
              <w:rPr>
                <w:rFonts w:hint="eastAsia" w:eastAsia="宋体"/>
                <w:b/>
                <w:lang w:eastAsia="zh-CN"/>
              </w:rPr>
            </w:pPr>
            <w:r>
              <w:rPr>
                <w:rFonts w:hint="eastAsia"/>
                <w:b/>
                <w:lang w:val="en-US" w:eastAsia="zh-CN"/>
              </w:rPr>
              <w:t>汤士民</w:t>
            </w:r>
          </w:p>
        </w:tc>
        <w:tc>
          <w:tcPr>
            <w:tcW w:w="244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6"/>
                <w:rFonts w:hint="eastAsia" w:ascii="宋体" w:hAnsi="宋体" w:cs="宋体"/>
                <w:color w:val="000000"/>
                <w:spacing w:val="15"/>
              </w:rPr>
              <w:t>任教年级、学科</w:t>
            </w:r>
          </w:p>
        </w:tc>
        <w:tc>
          <w:tcPr>
            <w:tcW w:w="1623"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rPr>
                <w:rFonts w:hint="eastAsia" w:eastAsia="宋体"/>
                <w:lang w:eastAsia="zh-CN"/>
              </w:rPr>
            </w:pPr>
            <w:r>
              <w:rPr>
                <w:rStyle w:val="6"/>
                <w:rFonts w:hint="eastAsia" w:ascii="宋体" w:hAnsi="宋体" w:cs="宋体"/>
                <w:color w:val="000000"/>
                <w:spacing w:val="15"/>
                <w:lang w:val="en-US" w:eastAsia="zh-CN"/>
              </w:rPr>
              <w:t>二</w:t>
            </w:r>
            <w:r>
              <w:rPr>
                <w:rStyle w:val="6"/>
                <w:rFonts w:hint="eastAsia" w:ascii="宋体" w:hAnsi="宋体" w:cs="宋体"/>
                <w:color w:val="000000"/>
                <w:spacing w:val="15"/>
              </w:rPr>
              <w:t>年级</w:t>
            </w:r>
            <w:r>
              <w:rPr>
                <w:rStyle w:val="6"/>
                <w:rFonts w:hint="eastAsia" w:ascii="宋体" w:hAnsi="宋体" w:cs="宋体"/>
                <w:color w:val="000000"/>
                <w:spacing w:val="15"/>
                <w:lang w:val="en-US" w:eastAsia="zh-CN"/>
              </w:rPr>
              <w:t>数学</w:t>
            </w:r>
          </w:p>
        </w:tc>
        <w:tc>
          <w:tcPr>
            <w:tcW w:w="1158"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6"/>
                <w:rFonts w:hint="eastAsia" w:ascii="宋体" w:hAnsi="宋体" w:cs="宋体"/>
                <w:color w:val="000000"/>
                <w:spacing w:val="15"/>
              </w:rPr>
              <w:t>学习时间</w:t>
            </w:r>
          </w:p>
        </w:tc>
        <w:tc>
          <w:tcPr>
            <w:tcW w:w="295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rPr>
                <w:rFonts w:hint="eastAsia" w:eastAsia="宋体"/>
                <w:lang w:val="en-US" w:eastAsia="zh-CN"/>
              </w:rPr>
            </w:pPr>
            <w:r>
              <w:rPr>
                <w:rStyle w:val="6"/>
                <w:rFonts w:ascii="Times New Roman" w:hAnsi="Times New Roman"/>
                <w:color w:val="000000"/>
                <w:spacing w:val="15"/>
              </w:rPr>
              <w:t>201</w:t>
            </w:r>
            <w:r>
              <w:rPr>
                <w:rStyle w:val="6"/>
                <w:rFonts w:hint="eastAsia" w:ascii="Times New Roman" w:hAnsi="Times New Roman"/>
                <w:color w:val="000000"/>
                <w:spacing w:val="15"/>
                <w:lang w:val="en-US" w:eastAsia="zh-CN"/>
              </w:rPr>
              <w:t>9</w:t>
            </w:r>
            <w:r>
              <w:rPr>
                <w:rStyle w:val="6"/>
                <w:rFonts w:hint="eastAsia" w:ascii="宋体" w:hAnsi="宋体" w:cs="宋体"/>
                <w:color w:val="000000"/>
                <w:spacing w:val="15"/>
              </w:rPr>
              <w:t>．</w:t>
            </w:r>
            <w:r>
              <w:rPr>
                <w:rStyle w:val="6"/>
                <w:rFonts w:hint="eastAsia" w:ascii="宋体" w:hAnsi="宋体" w:cs="宋体"/>
                <w:color w:val="000000"/>
                <w:spacing w:val="15"/>
                <w:lang w:val="en-US" w:eastAsia="zh-CN"/>
              </w:rPr>
              <w:t>1</w:t>
            </w:r>
          </w:p>
        </w:tc>
      </w:tr>
      <w:tr>
        <w:tblPrEx>
          <w:tblLayout w:type="fixed"/>
          <w:tblCellMar>
            <w:top w:w="15" w:type="dxa"/>
            <w:left w:w="15" w:type="dxa"/>
            <w:bottom w:w="15" w:type="dxa"/>
            <w:right w:w="15" w:type="dxa"/>
          </w:tblCellMar>
        </w:tblPrEx>
        <w:trPr>
          <w:trHeight w:val="420" w:hRule="atLeast"/>
          <w:tblCellSpacing w:w="15" w:type="dxa"/>
        </w:trPr>
        <w:tc>
          <w:tcPr>
            <w:tcW w:w="2306"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6"/>
                <w:rFonts w:hint="eastAsia" w:ascii="宋体" w:hAnsi="宋体" w:cs="宋体"/>
                <w:color w:val="000000"/>
                <w:spacing w:val="15"/>
              </w:rPr>
              <w:t>学习书籍</w:t>
            </w:r>
          </w:p>
        </w:tc>
        <w:tc>
          <w:tcPr>
            <w:tcW w:w="8269"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6"/>
                <w:rFonts w:hint="eastAsia" w:ascii="宋体" w:hAnsi="宋体" w:cs="宋体"/>
                <w:color w:val="000000"/>
                <w:spacing w:val="15"/>
              </w:rPr>
              <w:t>《反思教育》</w:t>
            </w:r>
          </w:p>
        </w:tc>
      </w:tr>
      <w:tr>
        <w:tblPrEx>
          <w:tblLayout w:type="fixed"/>
          <w:tblCellMar>
            <w:top w:w="15" w:type="dxa"/>
            <w:left w:w="15" w:type="dxa"/>
            <w:bottom w:w="15" w:type="dxa"/>
            <w:right w:w="15" w:type="dxa"/>
          </w:tblCellMar>
        </w:tblPrEx>
        <w:trPr>
          <w:trHeight w:val="4650" w:hRule="atLeast"/>
          <w:tblCellSpacing w:w="15" w:type="dxa"/>
        </w:trPr>
        <w:tc>
          <w:tcPr>
            <w:tcW w:w="10605" w:type="dxa"/>
            <w:gridSpan w:val="6"/>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4"/>
              <w:widowControl/>
              <w:spacing w:line="405" w:lineRule="atLeast"/>
              <w:rPr>
                <w:rFonts w:ascii="宋体" w:cs="宋体"/>
                <w:color w:val="000000"/>
                <w:spacing w:val="15"/>
              </w:rPr>
            </w:pPr>
            <w:r>
              <w:rPr>
                <w:rStyle w:val="6"/>
                <w:rFonts w:hint="eastAsia" w:ascii="宋体" w:hAnsi="宋体" w:cs="宋体"/>
                <w:color w:val="000000"/>
                <w:spacing w:val="15"/>
                <w:sz w:val="28"/>
                <w:szCs w:val="28"/>
              </w:rPr>
              <w:t>内容摘要</w:t>
            </w:r>
            <w:r>
              <w:rPr>
                <w:rFonts w:hint="eastAsia" w:ascii="宋体" w:hAnsi="宋体" w:cs="宋体"/>
                <w:color w:val="000000"/>
                <w:spacing w:val="15"/>
              </w:rPr>
              <w:t>：</w:t>
            </w:r>
            <w:r>
              <w:rPr>
                <w:rFonts w:ascii="宋体" w:hAnsi="宋体" w:cs="宋体"/>
                <w:color w:val="000000"/>
                <w:spacing w:val="15"/>
              </w:rPr>
              <w:t xml:space="preserve"> </w:t>
            </w:r>
            <w:r>
              <w:rPr>
                <w:rFonts w:hint="eastAsia" w:ascii="宋体" w:hAnsi="宋体" w:cs="宋体"/>
                <w:color w:val="000000"/>
                <w:spacing w:val="15"/>
              </w:rPr>
              <w:t>世界在变化，教育也必须变化。社会无处不在经历着深刻变革，这种形势呼吁</w:t>
            </w:r>
            <w:r>
              <w:rPr>
                <w:rFonts w:ascii="宋体" w:hAnsi="宋体" w:cs="宋体"/>
                <w:color w:val="000000"/>
                <w:spacing w:val="15"/>
              </w:rPr>
              <w:t xml:space="preserve"> </w:t>
            </w:r>
            <w:r>
              <w:rPr>
                <w:rFonts w:hint="eastAsia" w:ascii="宋体" w:hAnsi="宋体" w:cs="宋体"/>
                <w:color w:val="000000"/>
                <w:spacing w:val="15"/>
              </w:rPr>
              <w:t>新的教育形式，培养当今及今后社会和经济所需要的能力。这意味着超越识字和算术，以学习环境和新的学习方法为重点，以促进正义、社会公平和全球团结。教育必须教导人们学会如何在承受压力的地球上生活；教育必须重视文化素养，立足于尊重和尊严平等，有助于将可持续发展的社会、经济和环境方面结为一体。这是人文主义教育观，是根本的共同利益。我相信，在</w:t>
            </w:r>
            <w:r>
              <w:rPr>
                <w:rFonts w:ascii="宋体" w:hAnsi="宋体" w:cs="宋体"/>
                <w:color w:val="000000"/>
                <w:spacing w:val="15"/>
              </w:rPr>
              <w:t>70</w:t>
            </w:r>
            <w:r>
              <w:rPr>
                <w:rFonts w:hint="eastAsia" w:ascii="宋体" w:hAnsi="宋体" w:cs="宋体"/>
                <w:color w:val="000000"/>
                <w:spacing w:val="15"/>
              </w:rPr>
              <w:t>年前商定的《教科文组织组织法》的启迪下，这种观念获得了新生，反映出新的时代和新的需求。教育是可持续发展目标全球综合框架的关键。教育是我们努力适应变化、改造我们生活其中的世界的核心。优质的基础教育是在瞬息万变的复杂世界中实现终身学习的必要基础。这是一个动荡的时代，世界变得越来越年轻，对于人权和尊严的渴求正在上升。不同社会之间的联系比以往任何时候都更加密切，但不宽容现象和冲突依然层出不穷。新的权力中心正在形成，不平等正在走向深层，地球正承受着压力。虽然可持续和包容性发展的机会广阔，但是挑战也是严峻和复杂的。</w:t>
            </w:r>
            <w:r>
              <w:rPr>
                <w:rFonts w:ascii="宋体" w:hAnsi="宋体" w:cs="宋体"/>
                <w:color w:val="000000"/>
                <w:spacing w:val="15"/>
              </w:rPr>
              <w:t xml:space="preserve">      </w:t>
            </w:r>
          </w:p>
          <w:p>
            <w:pPr>
              <w:pStyle w:val="4"/>
              <w:widowControl/>
              <w:spacing w:line="405" w:lineRule="atLeast"/>
              <w:ind w:firstLine="555"/>
            </w:pPr>
          </w:p>
        </w:tc>
      </w:tr>
      <w:tr>
        <w:tblPrEx>
          <w:tblLayout w:type="fixed"/>
          <w:tblCellMar>
            <w:top w:w="15" w:type="dxa"/>
            <w:left w:w="15" w:type="dxa"/>
            <w:bottom w:w="15" w:type="dxa"/>
            <w:right w:w="15" w:type="dxa"/>
          </w:tblCellMar>
        </w:tblPrEx>
        <w:trPr>
          <w:trHeight w:val="3900" w:hRule="atLeast"/>
          <w:tblCellSpacing w:w="15" w:type="dxa"/>
        </w:trPr>
        <w:tc>
          <w:tcPr>
            <w:tcW w:w="10605" w:type="dxa"/>
            <w:gridSpan w:val="6"/>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4"/>
              <w:widowControl/>
              <w:shd w:val="clear" w:color="auto" w:fill="FFFFFF"/>
              <w:spacing w:line="360" w:lineRule="atLeast"/>
              <w:rPr>
                <w:rFonts w:ascii="宋体" w:cs="宋体"/>
                <w:color w:val="000000"/>
                <w:spacing w:val="15"/>
                <w:shd w:val="clear" w:color="auto" w:fill="FFFFFF"/>
              </w:rPr>
            </w:pPr>
            <w:r>
              <w:rPr>
                <w:rStyle w:val="6"/>
                <w:rFonts w:hint="eastAsia" w:ascii="宋体" w:hAnsi="宋体" w:cs="宋体"/>
                <w:color w:val="000000"/>
                <w:spacing w:val="15"/>
                <w:sz w:val="28"/>
                <w:szCs w:val="28"/>
                <w:shd w:val="clear" w:color="auto" w:fill="FFFFFF"/>
              </w:rPr>
              <w:t>学习体会：</w:t>
            </w:r>
            <w:r>
              <w:rPr>
                <w:rFonts w:hint="eastAsia" w:ascii="宋体" w:hAnsi="宋体" w:cs="宋体"/>
                <w:color w:val="000000"/>
                <w:spacing w:val="15"/>
              </w:rPr>
              <w:t>放眼世界，我们看到在扩大全民学习机会方面已经取得了长足的进步。然而，我们必须吸取适当的经验教训，确定新的前进方向。在机会获取方面尚有不足；我们必须把新的重点放在教育质量和学习相关性上，放在儿童、青年和成人的实际学习内容上。学校教育和正规教育是主体，但我们必须放宽眼界，促进终身学习。要让女童进入小学读书，但是在中学以及以后阶段，我们也必须向她们施以援手。我们必须比以往任何时候都更加重视教师和教育工作者，将他们作为全面推动变革的力量。</w:t>
            </w:r>
            <w:r>
              <w:rPr>
                <w:rStyle w:val="6"/>
                <w:rFonts w:hint="eastAsia" w:ascii="宋体" w:hAnsi="宋体" w:cs="宋体"/>
                <w:b w:val="0"/>
                <w:color w:val="000000"/>
                <w:spacing w:val="15"/>
                <w:shd w:val="clear" w:color="auto" w:fill="FFFFFF"/>
              </w:rPr>
              <w:t>《反思教育：向“全球共同利益”的理念转变？》是联合国教科文组织去年发布的研究报告，是继</w:t>
            </w:r>
            <w:r>
              <w:rPr>
                <w:rStyle w:val="6"/>
                <w:rFonts w:ascii="宋体" w:hAnsi="宋体" w:cs="宋体"/>
                <w:b w:val="0"/>
                <w:color w:val="000000"/>
                <w:spacing w:val="15"/>
                <w:shd w:val="clear" w:color="auto" w:fill="FFFFFF"/>
              </w:rPr>
              <w:t>1972</w:t>
            </w:r>
            <w:r>
              <w:rPr>
                <w:rStyle w:val="6"/>
                <w:rFonts w:hint="eastAsia" w:ascii="宋体" w:hAnsi="宋体" w:cs="宋体"/>
                <w:b w:val="0"/>
                <w:color w:val="000000"/>
                <w:spacing w:val="15"/>
                <w:shd w:val="clear" w:color="auto" w:fill="FFFFFF"/>
              </w:rPr>
              <w:t>年发布富尔报告和</w:t>
            </w:r>
            <w:r>
              <w:rPr>
                <w:rStyle w:val="6"/>
                <w:rFonts w:ascii="宋体" w:hAnsi="宋体" w:cs="宋体"/>
                <w:b w:val="0"/>
                <w:color w:val="000000"/>
                <w:spacing w:val="15"/>
                <w:shd w:val="clear" w:color="auto" w:fill="FFFFFF"/>
              </w:rPr>
              <w:t>1996</w:t>
            </w:r>
            <w:r>
              <w:rPr>
                <w:rStyle w:val="6"/>
                <w:rFonts w:hint="eastAsia" w:ascii="宋体" w:hAnsi="宋体" w:cs="宋体"/>
                <w:b w:val="0"/>
                <w:color w:val="000000"/>
                <w:spacing w:val="15"/>
                <w:shd w:val="clear" w:color="auto" w:fill="FFFFFF"/>
              </w:rPr>
              <w:t>年发布德洛尔报告之后的第三份重要报告，顾明远先生称之为“必定像前两份报告那样对世界教育的发展产生重大的影响”。</w:t>
            </w:r>
          </w:p>
        </w:tc>
      </w:tr>
    </w:tbl>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A665E03"/>
    <w:rsid w:val="00755692"/>
    <w:rsid w:val="00855476"/>
    <w:rsid w:val="00C80D60"/>
    <w:rsid w:val="00E836AB"/>
    <w:rsid w:val="00F4746F"/>
    <w:rsid w:val="00F660B3"/>
    <w:rsid w:val="05923CF4"/>
    <w:rsid w:val="33175E60"/>
    <w:rsid w:val="3DD376DE"/>
    <w:rsid w:val="3FB95171"/>
    <w:rsid w:val="4BA32DDE"/>
    <w:rsid w:val="5A665E03"/>
    <w:rsid w:val="7562154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iPriority w:val="99"/>
    <w:pPr>
      <w:tabs>
        <w:tab w:val="center" w:pos="4153"/>
        <w:tab w:val="right" w:pos="8306"/>
      </w:tabs>
      <w:snapToGrid w:val="0"/>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spacing w:beforeAutospacing="1" w:afterAutospacing="1"/>
      <w:jc w:val="left"/>
    </w:pPr>
    <w:rPr>
      <w:kern w:val="0"/>
      <w:sz w:val="24"/>
    </w:rPr>
  </w:style>
  <w:style w:type="character" w:styleId="6">
    <w:name w:val="Strong"/>
    <w:basedOn w:val="5"/>
    <w:qFormat/>
    <w:uiPriority w:val="99"/>
    <w:rPr>
      <w:rFonts w:cs="Times New Roman"/>
      <w:b/>
    </w:rPr>
  </w:style>
  <w:style w:type="character" w:customStyle="1" w:styleId="8">
    <w:name w:val="Header Char"/>
    <w:basedOn w:val="5"/>
    <w:link w:val="3"/>
    <w:semiHidden/>
    <w:qFormat/>
    <w:uiPriority w:val="99"/>
    <w:rPr>
      <w:rFonts w:ascii="Calibri" w:hAnsi="Calibri"/>
      <w:sz w:val="18"/>
      <w:szCs w:val="18"/>
    </w:rPr>
  </w:style>
  <w:style w:type="character" w:customStyle="1" w:styleId="9">
    <w:name w:val="Footer Char"/>
    <w:basedOn w:val="5"/>
    <w:link w:val="2"/>
    <w:semiHidden/>
    <w:uiPriority w:val="99"/>
    <w:rPr>
      <w:rFonts w:ascii="Calibri" w:hAnsi="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Pages>
  <Words>128</Words>
  <Characters>732</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2018-09-19T00:58:00Z</dcterms:created>
  <dc:creator>Administrator</dc:creator>
  <cp:lastModifiedBy>apple</cp:lastModifiedBy>
  <dcterms:modified xsi:type="dcterms:W3CDTF">2019-01-10T01:08:25Z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