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rPr>
        <w:t>02</w:t>
      </w:r>
      <w:r>
        <w:rPr>
          <w:rFonts w:hint="eastAsia" w:ascii="宋体" w:hAnsi="宋体" w:eastAsia="宋体" w:cs="宋体"/>
          <w:sz w:val="28"/>
          <w:szCs w:val="28"/>
          <w:lang w:val="en-US" w:eastAsia="zh-CN"/>
        </w:rPr>
        <w:t>2</w:t>
      </w:r>
      <w:r>
        <w:rPr>
          <w:rFonts w:hint="eastAsia" w:ascii="宋体" w:hAnsi="宋体" w:eastAsia="宋体" w:cs="宋体"/>
          <w:sz w:val="28"/>
          <w:szCs w:val="28"/>
        </w:rPr>
        <w:t>年度九里小学校本培训计划</w:t>
      </w:r>
    </w:p>
    <w:p>
      <w:pPr>
        <w:ind w:firstLine="482" w:firstLineChars="200"/>
        <w:jc w:val="both"/>
        <w:rPr>
          <w:rFonts w:hint="eastAsia" w:ascii="宋体" w:hAnsi="宋体" w:eastAsia="宋体" w:cs="宋体"/>
          <w:b/>
          <w:bCs/>
          <w:sz w:val="24"/>
          <w:szCs w:val="24"/>
        </w:rPr>
      </w:pPr>
      <w:r>
        <w:rPr>
          <w:rFonts w:hint="eastAsia" w:ascii="宋体" w:hAnsi="宋体" w:eastAsia="宋体" w:cs="宋体"/>
          <w:b/>
          <w:bCs/>
          <w:sz w:val="24"/>
          <w:szCs w:val="24"/>
        </w:rPr>
        <w:t>一、指导思想</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习主席“文化强国梦、人才强国梦”重要思想为指导，结合我校专业建设、教师队伍和教育教学工作的实际，着眼于教师综合素质、专业水平的提高，造就一支师德修养高、业务素质精良、教学技能全面、具有一定教育科研能力、适应新时期教育改革发展需要的教师队伍。创建“学习型学校”，构建教师终身学习体系，实现我校教师队伍的专业化，切实提高我校教师的教育素质，教育效能和职业声誉，办好人民满意的教育。</w:t>
      </w:r>
    </w:p>
    <w:p>
      <w:pPr>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二、培训目标</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1、师德方面</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加强师德建设，树立现代教育思想和良好的道德风尚，为教育奠基，做一个高素质的教师。</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2、业务培训</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总体培训目标：</w:t>
      </w:r>
    </w:p>
    <w:p>
      <w:pPr>
        <w:ind w:firstLine="560"/>
        <w:jc w:val="left"/>
        <w:rPr>
          <w:rFonts w:hint="eastAsia" w:ascii="宋体" w:hAnsi="宋体" w:eastAsia="宋体" w:cs="宋体"/>
          <w:sz w:val="24"/>
          <w:szCs w:val="24"/>
        </w:rPr>
      </w:pPr>
      <w:r>
        <w:rPr>
          <w:rFonts w:hint="eastAsia" w:ascii="宋体" w:hAnsi="宋体" w:eastAsia="宋体" w:cs="宋体"/>
          <w:sz w:val="24"/>
          <w:szCs w:val="24"/>
        </w:rPr>
        <w:t>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骨干教师要合格、老教师要适应”的要求。</w:t>
      </w:r>
    </w:p>
    <w:p>
      <w:pPr>
        <w:jc w:val="left"/>
        <w:rPr>
          <w:rFonts w:hint="eastAsia" w:ascii="宋体" w:hAnsi="宋体" w:eastAsia="宋体" w:cs="宋体"/>
          <w:sz w:val="24"/>
          <w:szCs w:val="24"/>
        </w:rPr>
      </w:pPr>
      <w:r>
        <w:rPr>
          <w:rFonts w:hint="eastAsia" w:ascii="宋体" w:hAnsi="宋体" w:eastAsia="宋体" w:cs="宋体"/>
          <w:sz w:val="24"/>
          <w:szCs w:val="24"/>
        </w:rPr>
        <w:t>具体培训目标：</w:t>
      </w:r>
    </w:p>
    <w:p>
      <w:pPr>
        <w:jc w:val="left"/>
        <w:rPr>
          <w:rFonts w:hint="eastAsia" w:ascii="宋体" w:hAnsi="宋体" w:eastAsia="宋体" w:cs="宋体"/>
          <w:sz w:val="24"/>
          <w:szCs w:val="24"/>
        </w:rPr>
      </w:pPr>
      <w:r>
        <w:rPr>
          <w:rFonts w:hint="eastAsia" w:ascii="宋体" w:hAnsi="宋体" w:eastAsia="宋体" w:cs="宋体"/>
          <w:sz w:val="24"/>
          <w:szCs w:val="24"/>
        </w:rPr>
        <w:t>　（1）通过培训，进一步更新教师教育观念，树立现代教育思想。</w:t>
      </w:r>
    </w:p>
    <w:p>
      <w:pPr>
        <w:jc w:val="left"/>
        <w:rPr>
          <w:rFonts w:hint="eastAsia" w:ascii="宋体" w:hAnsi="宋体" w:eastAsia="宋体" w:cs="宋体"/>
          <w:sz w:val="24"/>
          <w:szCs w:val="24"/>
        </w:rPr>
      </w:pPr>
      <w:r>
        <w:rPr>
          <w:rFonts w:hint="eastAsia" w:ascii="宋体" w:hAnsi="宋体" w:eastAsia="宋体" w:cs="宋体"/>
          <w:sz w:val="24"/>
          <w:szCs w:val="24"/>
        </w:rPr>
        <w:t>　（2）通过培训，了解基础教育改革与学科发展动态，不断探索学科改革的突破点，提升教师创造性使用教材的能力。</w:t>
      </w:r>
    </w:p>
    <w:p>
      <w:pPr>
        <w:jc w:val="left"/>
        <w:rPr>
          <w:rFonts w:hint="eastAsia" w:ascii="宋体" w:hAnsi="宋体" w:eastAsia="宋体" w:cs="宋体"/>
          <w:sz w:val="24"/>
          <w:szCs w:val="24"/>
        </w:rPr>
      </w:pPr>
      <w:r>
        <w:rPr>
          <w:rFonts w:hint="eastAsia" w:ascii="宋体" w:hAnsi="宋体" w:eastAsia="宋体" w:cs="宋体"/>
          <w:sz w:val="24"/>
          <w:szCs w:val="24"/>
        </w:rPr>
        <w:t>　（3）通过培训，帮助教师进一步掌握教育科研理论和方法，增强教师教育教学研究意识，深入开展课题研究工作，不断总结科研工作经验，提高教师自我反思、自主发展能力。</w:t>
      </w:r>
    </w:p>
    <w:p>
      <w:pPr>
        <w:jc w:val="left"/>
        <w:rPr>
          <w:rFonts w:hint="eastAsia" w:ascii="宋体" w:hAnsi="宋体" w:eastAsia="宋体" w:cs="宋体"/>
          <w:sz w:val="24"/>
          <w:szCs w:val="24"/>
        </w:rPr>
      </w:pPr>
      <w:r>
        <w:rPr>
          <w:rFonts w:hint="eastAsia" w:ascii="宋体" w:hAnsi="宋体" w:eastAsia="宋体" w:cs="宋体"/>
          <w:sz w:val="24"/>
          <w:szCs w:val="24"/>
        </w:rPr>
        <w:t>　（4）通过培训，使教师充分认识读书的意义，使教师乐读书、读好书、多读书，开拓视野，丰富底蕴，促进教师专业发展。</w:t>
      </w:r>
    </w:p>
    <w:p>
      <w:pPr>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5</w:t>
      </w:r>
      <w:r>
        <w:rPr>
          <w:rFonts w:hint="eastAsia" w:ascii="宋体" w:hAnsi="宋体" w:eastAsia="宋体" w:cs="宋体"/>
          <w:sz w:val="24"/>
          <w:szCs w:val="24"/>
        </w:rPr>
        <w:t>）通过培训，促进教师理论学习与教学实践的联系，提高教师课堂教学能力。</w:t>
      </w:r>
    </w:p>
    <w:p>
      <w:pPr>
        <w:jc w:val="left"/>
        <w:rPr>
          <w:rFonts w:hint="eastAsia" w:ascii="宋体" w:hAnsi="宋体" w:eastAsia="宋体" w:cs="宋体"/>
          <w:sz w:val="24"/>
          <w:szCs w:val="24"/>
        </w:rPr>
      </w:pPr>
      <w:r>
        <w:rPr>
          <w:rFonts w:hint="eastAsia" w:ascii="宋体" w:hAnsi="宋体" w:eastAsia="宋体" w:cs="宋体"/>
          <w:sz w:val="24"/>
          <w:szCs w:val="24"/>
        </w:rPr>
        <w:t>　　重点培训目标：</w:t>
      </w:r>
    </w:p>
    <w:p>
      <w:pPr>
        <w:jc w:val="left"/>
        <w:rPr>
          <w:rFonts w:hint="eastAsia" w:ascii="宋体" w:hAnsi="宋体" w:eastAsia="宋体" w:cs="宋体"/>
          <w:sz w:val="24"/>
          <w:szCs w:val="24"/>
        </w:rPr>
      </w:pPr>
      <w:r>
        <w:rPr>
          <w:rFonts w:hint="eastAsia" w:ascii="宋体" w:hAnsi="宋体" w:eastAsia="宋体" w:cs="宋体"/>
          <w:sz w:val="24"/>
          <w:szCs w:val="24"/>
        </w:rPr>
        <w:t>　　（1）注重新教师的培训工作，以课堂教学为主阵地，努力提高他们的课堂实践能力。</w:t>
      </w:r>
    </w:p>
    <w:p>
      <w:pPr>
        <w:jc w:val="left"/>
        <w:rPr>
          <w:rFonts w:hint="eastAsia" w:ascii="宋体" w:hAnsi="宋体" w:eastAsia="宋体" w:cs="宋体"/>
          <w:sz w:val="24"/>
          <w:szCs w:val="24"/>
        </w:rPr>
      </w:pPr>
      <w:r>
        <w:rPr>
          <w:rFonts w:hint="eastAsia" w:ascii="宋体" w:hAnsi="宋体" w:eastAsia="宋体" w:cs="宋体"/>
          <w:sz w:val="24"/>
          <w:szCs w:val="24"/>
        </w:rPr>
        <w:t>　　（2）注重青年教师的培养，形成人才梯队建设，不断发现新人、培训新人、鼓励新人，造就一支能拿得出、打得响的青年教师队伍。</w:t>
      </w:r>
    </w:p>
    <w:p>
      <w:pPr>
        <w:jc w:val="left"/>
        <w:rPr>
          <w:rFonts w:hint="eastAsia" w:ascii="宋体" w:hAnsi="宋体" w:eastAsia="宋体" w:cs="宋体"/>
          <w:sz w:val="24"/>
          <w:szCs w:val="24"/>
        </w:rPr>
      </w:pPr>
      <w:r>
        <w:rPr>
          <w:rFonts w:hint="eastAsia" w:ascii="宋体" w:hAnsi="宋体" w:eastAsia="宋体" w:cs="宋体"/>
          <w:sz w:val="24"/>
          <w:szCs w:val="24"/>
        </w:rPr>
        <w:t>　　（3）注重骨干教师管理，实行动态管理，启用骨干教师作为校本培训的师资力量，发挥其辐射和示范作用。</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3、教师心理素质培训</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师的职业是一种特殊的职业，是一种用生命感动生命，用心灵去浇灌心灵的职业，正如雅斯贝尔斯告诉我们的：“教育意味着一棵树动摇另一棵树，一朵云推动另一朵云，一个灵魂唤醒另一个灵魂。”教师工作的这一特殊性决定了教师心理素质的重要性。</w:t>
      </w:r>
    </w:p>
    <w:p>
      <w:pPr>
        <w:ind w:firstLine="482" w:firstLineChars="200"/>
        <w:jc w:val="left"/>
        <w:rPr>
          <w:rFonts w:hint="eastAsia" w:ascii="宋体" w:hAnsi="宋体" w:eastAsia="宋体" w:cs="宋体"/>
          <w:b/>
          <w:bCs/>
          <w:sz w:val="24"/>
          <w:szCs w:val="24"/>
        </w:rPr>
      </w:pPr>
      <w:r>
        <w:rPr>
          <w:rFonts w:hint="eastAsia" w:ascii="宋体" w:hAnsi="宋体" w:eastAsia="宋体" w:cs="宋体"/>
          <w:b/>
          <w:bCs/>
          <w:sz w:val="24"/>
          <w:szCs w:val="24"/>
        </w:rPr>
        <w:t>三、培训内容</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1、师德培训</w:t>
      </w:r>
    </w:p>
    <w:p>
      <w:pPr>
        <w:jc w:val="left"/>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加强学习考评。坚持学以致用，以评促学。抓实“集体解读，辅导重点难点；个人自学，规范学习笔记；讨论交流，举办论坛演讲”三个环节，要将师德师风教育与师能提高紧密结合起来，不断提高学习教育活动的针对性和实效性。</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2、业务培训</w:t>
      </w:r>
    </w:p>
    <w:p>
      <w:pPr>
        <w:jc w:val="left"/>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第一，加强教育理论学习。</w:t>
      </w:r>
    </w:p>
    <w:p>
      <w:pPr>
        <w:jc w:val="left"/>
        <w:rPr>
          <w:rFonts w:hint="eastAsia" w:ascii="宋体" w:hAnsi="宋体" w:eastAsia="宋体" w:cs="宋体"/>
          <w:sz w:val="24"/>
          <w:szCs w:val="24"/>
        </w:rPr>
      </w:pPr>
      <w:r>
        <w:rPr>
          <w:rFonts w:hint="eastAsia" w:ascii="宋体" w:hAnsi="宋体" w:eastAsia="宋体" w:cs="宋体"/>
          <w:sz w:val="24"/>
          <w:szCs w:val="24"/>
        </w:rPr>
        <w:t>　　加强教育学、心理学、现代教育理论和学科发展前沿理论的学习，学习国内外、校内外课程改革的先进经验、课例。学习研讨“优秀课例”。学校</w:t>
      </w:r>
      <w:r>
        <w:rPr>
          <w:rFonts w:hint="eastAsia" w:ascii="宋体" w:hAnsi="宋体" w:eastAsia="宋体" w:cs="宋体"/>
          <w:sz w:val="24"/>
          <w:szCs w:val="24"/>
          <w:lang w:val="en-US" w:eastAsia="zh-CN"/>
        </w:rPr>
        <w:t>课程教学中心</w:t>
      </w:r>
      <w:r>
        <w:rPr>
          <w:rFonts w:hint="eastAsia" w:ascii="宋体" w:hAnsi="宋体" w:eastAsia="宋体" w:cs="宋体"/>
          <w:sz w:val="24"/>
          <w:szCs w:val="24"/>
        </w:rPr>
        <w:t>将定期组织学习或下发学习材料，使教师掌握本学科新课程知识结构和编排体系，掌握课程改革新动态。</w:t>
      </w:r>
    </w:p>
    <w:p>
      <w:pPr>
        <w:jc w:val="left"/>
        <w:rPr>
          <w:rFonts w:hint="eastAsia" w:ascii="宋体" w:hAnsi="宋体" w:eastAsia="宋体" w:cs="宋体"/>
          <w:sz w:val="24"/>
          <w:szCs w:val="24"/>
        </w:rPr>
      </w:pPr>
      <w:r>
        <w:rPr>
          <w:rFonts w:hint="eastAsia" w:ascii="宋体" w:hAnsi="宋体" w:eastAsia="宋体" w:cs="宋体"/>
          <w:sz w:val="24"/>
          <w:szCs w:val="24"/>
        </w:rPr>
        <w:t>　第二，实施“强师战略”。</w:t>
      </w:r>
    </w:p>
    <w:p>
      <w:pPr>
        <w:jc w:val="left"/>
        <w:rPr>
          <w:rFonts w:hint="eastAsia" w:ascii="宋体" w:hAnsi="宋体" w:eastAsia="宋体" w:cs="宋体"/>
          <w:sz w:val="24"/>
          <w:szCs w:val="24"/>
        </w:rPr>
      </w:pPr>
      <w:r>
        <w:rPr>
          <w:rFonts w:hint="eastAsia" w:ascii="宋体" w:hAnsi="宋体" w:eastAsia="宋体" w:cs="宋体"/>
          <w:sz w:val="24"/>
          <w:szCs w:val="24"/>
        </w:rPr>
        <w:t>　　以“教研培训一体化”为载体，实施校本培训，提高教师专业化水平和能力。</w:t>
      </w:r>
    </w:p>
    <w:p>
      <w:pPr>
        <w:jc w:val="left"/>
        <w:rPr>
          <w:rFonts w:hint="eastAsia" w:ascii="宋体" w:hAnsi="宋体" w:eastAsia="宋体" w:cs="宋体"/>
          <w:sz w:val="24"/>
          <w:szCs w:val="24"/>
        </w:rPr>
      </w:pPr>
      <w:r>
        <w:rPr>
          <w:rFonts w:hint="eastAsia" w:ascii="宋体" w:hAnsi="宋体" w:eastAsia="宋体" w:cs="宋体"/>
          <w:sz w:val="24"/>
          <w:szCs w:val="24"/>
        </w:rPr>
        <w:t>　　（1）提高教学行为“六种能力”。</w:t>
      </w:r>
    </w:p>
    <w:p>
      <w:pPr>
        <w:jc w:val="left"/>
        <w:rPr>
          <w:rFonts w:hint="eastAsia" w:ascii="宋体" w:hAnsi="宋体" w:eastAsia="宋体" w:cs="宋体"/>
          <w:sz w:val="24"/>
          <w:szCs w:val="24"/>
        </w:rPr>
      </w:pPr>
      <w:r>
        <w:rPr>
          <w:rFonts w:hint="eastAsia" w:ascii="宋体" w:hAnsi="宋体" w:eastAsia="宋体" w:cs="宋体"/>
          <w:sz w:val="24"/>
          <w:szCs w:val="24"/>
        </w:rPr>
        <w:t>　　一是提高教学设计能力；二是提高知识加工能力；三是提高教学组织能力；四是提高实践反思能力；五是提高现代教育技术应用能力；六是提高教学质量的监控能力。</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（2）注重两种培训。一是教育科研能力的培训：注重研究过程的积累，强化承担科研课题研究的教师在常规教学中进行研究实验的力度。二是以备课组和学科教研组为主阵地，加强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双减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背景</w:t>
      </w:r>
      <w:r>
        <w:rPr>
          <w:rFonts w:hint="eastAsia" w:ascii="宋体" w:hAnsi="宋体" w:eastAsia="宋体" w:cs="宋体"/>
          <w:sz w:val="24"/>
          <w:szCs w:val="24"/>
        </w:rPr>
        <w:t>下教师角色及教学方式、学生的学习方式的转变，教学策略、评价制度的改革的学习培训。</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第三、锤炼师功。</w:t>
      </w:r>
    </w:p>
    <w:p>
      <w:pPr>
        <w:jc w:val="left"/>
        <w:rPr>
          <w:rFonts w:hint="eastAsia" w:ascii="宋体" w:hAnsi="宋体" w:eastAsia="宋体" w:cs="宋体"/>
          <w:sz w:val="24"/>
          <w:szCs w:val="24"/>
        </w:rPr>
      </w:pPr>
      <w:r>
        <w:rPr>
          <w:rFonts w:hint="eastAsia" w:ascii="宋体" w:hAnsi="宋体" w:eastAsia="宋体" w:cs="宋体"/>
          <w:sz w:val="24"/>
          <w:szCs w:val="24"/>
        </w:rPr>
        <w:t>　　（1）教师基本功培训</w:t>
      </w:r>
    </w:p>
    <w:p>
      <w:pPr>
        <w:jc w:val="left"/>
        <w:rPr>
          <w:rFonts w:hint="eastAsia" w:ascii="宋体" w:hAnsi="宋体" w:eastAsia="宋体" w:cs="宋体"/>
          <w:sz w:val="24"/>
          <w:szCs w:val="24"/>
        </w:rPr>
      </w:pPr>
      <w:r>
        <w:rPr>
          <w:rFonts w:hint="eastAsia" w:ascii="宋体" w:hAnsi="宋体" w:eastAsia="宋体" w:cs="宋体"/>
          <w:sz w:val="24"/>
          <w:szCs w:val="24"/>
        </w:rPr>
        <w:t>　　培训内容包括：</w:t>
      </w:r>
    </w:p>
    <w:p>
      <w:pPr>
        <w:jc w:val="left"/>
        <w:rPr>
          <w:rFonts w:hint="eastAsia" w:ascii="宋体" w:hAnsi="宋体" w:eastAsia="宋体" w:cs="宋体"/>
          <w:sz w:val="24"/>
          <w:szCs w:val="24"/>
        </w:rPr>
      </w:pPr>
      <w:r>
        <w:rPr>
          <w:rFonts w:hint="eastAsia" w:ascii="宋体" w:hAnsi="宋体" w:eastAsia="宋体" w:cs="宋体"/>
          <w:sz w:val="24"/>
          <w:szCs w:val="24"/>
        </w:rPr>
        <w:t>　　一般教学基本功，朗读、普通话、使用工具书、备课、课堂教学、教学研究、作业设计、考核、批改作业等；</w:t>
      </w:r>
    </w:p>
    <w:p>
      <w:pPr>
        <w:jc w:val="left"/>
        <w:rPr>
          <w:rFonts w:hint="eastAsia" w:ascii="宋体" w:hAnsi="宋体" w:eastAsia="宋体" w:cs="宋体"/>
          <w:sz w:val="24"/>
          <w:szCs w:val="24"/>
        </w:rPr>
      </w:pPr>
      <w:r>
        <w:rPr>
          <w:rFonts w:hint="eastAsia" w:ascii="宋体" w:hAnsi="宋体" w:eastAsia="宋体" w:cs="宋体"/>
          <w:sz w:val="24"/>
          <w:szCs w:val="24"/>
        </w:rPr>
        <w:t>　　学科教学基本功，如掌握学科知识结构与特点，探索在学科领域中提高课堂效益和质量的办法与途径，发挥与本学科相适应的教学风格与个性，让学生学会学习，调动起学生学习的积极性，对所学知识产生浓厚的兴趣；</w:t>
      </w:r>
    </w:p>
    <w:p>
      <w:pPr>
        <w:jc w:val="left"/>
        <w:rPr>
          <w:rFonts w:hint="eastAsia" w:ascii="宋体" w:hAnsi="宋体" w:eastAsia="宋体" w:cs="宋体"/>
          <w:sz w:val="24"/>
          <w:szCs w:val="24"/>
        </w:rPr>
      </w:pPr>
      <w:r>
        <w:rPr>
          <w:rFonts w:hint="eastAsia" w:ascii="宋体" w:hAnsi="宋体" w:eastAsia="宋体" w:cs="宋体"/>
          <w:sz w:val="24"/>
          <w:szCs w:val="24"/>
        </w:rPr>
        <w:t>　　专业特长基本功，主要指教师除了精通所授学科知识之外，还应在教育学、心理学知识基础上，具有收集运用各种信息的能力，并能熟练掌握现代化的教学手段，如计算机操作、教学课件的制作、指导学生进行课外活动等。</w:t>
      </w:r>
    </w:p>
    <w:p>
      <w:pPr>
        <w:jc w:val="left"/>
        <w:rPr>
          <w:rFonts w:hint="eastAsia" w:ascii="宋体" w:hAnsi="宋体" w:eastAsia="宋体" w:cs="宋体"/>
          <w:sz w:val="24"/>
          <w:szCs w:val="24"/>
        </w:rPr>
      </w:pPr>
      <w:r>
        <w:rPr>
          <w:rFonts w:hint="eastAsia" w:ascii="宋体" w:hAnsi="宋体" w:eastAsia="宋体" w:cs="宋体"/>
          <w:sz w:val="24"/>
          <w:szCs w:val="24"/>
        </w:rPr>
        <w:t>　　（2）自我反思能力培训</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教师在先进的教育理论指导下，要经常性的对自己的教育教学行</w:t>
      </w:r>
    </w:p>
    <w:p>
      <w:pPr>
        <w:jc w:val="left"/>
        <w:rPr>
          <w:rFonts w:hint="eastAsia" w:ascii="宋体" w:hAnsi="宋体" w:eastAsia="宋体" w:cs="宋体"/>
          <w:sz w:val="24"/>
          <w:szCs w:val="24"/>
        </w:rPr>
      </w:pPr>
      <w:r>
        <w:rPr>
          <w:rFonts w:hint="eastAsia" w:ascii="宋体" w:hAnsi="宋体" w:eastAsia="宋体" w:cs="宋体"/>
          <w:sz w:val="24"/>
          <w:szCs w:val="24"/>
        </w:rPr>
        <w:t>为进行自我反思。一是反思教育教学理念；二是反思教育教学行为。</w:t>
      </w:r>
    </w:p>
    <w:p>
      <w:pPr>
        <w:ind w:firstLine="480" w:firstLineChars="200"/>
        <w:jc w:val="left"/>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技能培训</w:t>
      </w:r>
    </w:p>
    <w:p>
      <w:pPr>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rPr>
        <w:t>提高教师利用多媒体手段教学的能力</w:t>
      </w:r>
      <w:r>
        <w:rPr>
          <w:rFonts w:hint="eastAsia" w:ascii="宋体" w:hAnsi="宋体" w:eastAsia="宋体" w:cs="宋体"/>
          <w:sz w:val="24"/>
          <w:szCs w:val="24"/>
          <w:lang w:eastAsia="zh-CN"/>
        </w:rPr>
        <w:t>。</w:t>
      </w:r>
    </w:p>
    <w:p>
      <w:pPr>
        <w:ind w:firstLine="482" w:firstLineChars="200"/>
        <w:rPr>
          <w:rFonts w:hint="eastAsia" w:ascii="宋体" w:hAnsi="宋体" w:eastAsia="宋体" w:cs="宋体"/>
          <w:b/>
          <w:bCs/>
          <w:sz w:val="24"/>
          <w:szCs w:val="24"/>
        </w:rPr>
      </w:pPr>
      <w:bookmarkStart w:id="1" w:name="_GoBack"/>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、保障措施和预期效果</w:t>
      </w:r>
    </w:p>
    <w:bookmarkEnd w:id="1"/>
    <w:p>
      <w:pPr>
        <w:ind w:firstLine="480" w:firstLineChars="200"/>
        <w:rPr>
          <w:rFonts w:hint="eastAsia" w:ascii="宋体" w:hAnsi="宋体" w:eastAsia="宋体" w:cs="宋体"/>
          <w:sz w:val="24"/>
          <w:szCs w:val="24"/>
        </w:rPr>
      </w:pPr>
      <w:r>
        <w:rPr>
          <w:rFonts w:hint="eastAsia" w:ascii="宋体" w:hAnsi="宋体" w:eastAsia="宋体" w:cs="宋体"/>
          <w:sz w:val="24"/>
          <w:szCs w:val="24"/>
        </w:rPr>
        <w:t>保障措施：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成立校本培训领导小组。学校成立由校长担任组长的校本研训领导和考核小组，校长室、教科室、各部门层层管理，为校本研训的顺利开展起到重要的组织保证作用。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培训经费预算。每学期学校对教师外出学习所需经费进行充分预算，保证顺利完成培训活动。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落实各项制度。认真落实校本培训管理制度、校本培训年度考核等级评定制度、结对互助帮扶制度等，促进校本培训的制度化、规范化建设。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考核与评定。建立校本培训督导、评估机制，将校本培训工作纳入对教师的考核目标。将教师的听课记录、培训记录、案例、论文等文字材料和参加培训的出勤情况作为考核的依据。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预期效果：</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通过校本培训，使我校教师师德高尚，教学理念新颖，进行教学方式的改进，提高课堂教学能力和科研能力，有效提升教师的专业素质。</w:t>
      </w:r>
    </w:p>
    <w:p>
      <w:pPr>
        <w:ind w:firstLine="480" w:firstLineChars="200"/>
        <w:rPr>
          <w:sz w:val="24"/>
          <w:szCs w:val="24"/>
        </w:rPr>
      </w:pPr>
      <w:r>
        <w:rPr>
          <w:rFonts w:hint="eastAsia"/>
          <w:sz w:val="24"/>
          <w:szCs w:val="24"/>
        </w:rPr>
        <w:t>附：</w:t>
      </w:r>
    </w:p>
    <w:tbl>
      <w:tblPr>
        <w:tblStyle w:val="2"/>
        <w:tblW w:w="11002" w:type="dxa"/>
        <w:jc w:val="center"/>
        <w:shd w:val="clear" w:color="auto" w:fill="FFFFFF" w:themeFill="background1"/>
        <w:tblLayout w:type="fixed"/>
        <w:tblCellMar>
          <w:top w:w="0" w:type="dxa"/>
          <w:left w:w="108" w:type="dxa"/>
          <w:bottom w:w="0" w:type="dxa"/>
          <w:right w:w="108" w:type="dxa"/>
        </w:tblCellMar>
      </w:tblPr>
      <w:tblGrid>
        <w:gridCol w:w="480"/>
        <w:gridCol w:w="729"/>
        <w:gridCol w:w="1065"/>
        <w:gridCol w:w="1155"/>
        <w:gridCol w:w="2040"/>
        <w:gridCol w:w="1067"/>
        <w:gridCol w:w="1134"/>
        <w:gridCol w:w="1134"/>
        <w:gridCol w:w="880"/>
        <w:gridCol w:w="690"/>
        <w:gridCol w:w="628"/>
      </w:tblGrid>
      <w:tr>
        <w:tblPrEx>
          <w:shd w:val="clear" w:color="auto" w:fill="FFFFFF" w:themeFill="background1"/>
          <w:tblCellMar>
            <w:top w:w="0" w:type="dxa"/>
            <w:left w:w="108" w:type="dxa"/>
            <w:bottom w:w="0" w:type="dxa"/>
            <w:right w:w="108" w:type="dxa"/>
          </w:tblCellMar>
        </w:tblPrEx>
        <w:trPr>
          <w:trHeight w:val="90" w:hRule="atLeast"/>
          <w:jc w:val="center"/>
        </w:trPr>
        <w:tc>
          <w:tcPr>
            <w:tcW w:w="11002" w:type="dxa"/>
            <w:gridSpan w:val="11"/>
            <w:tcBorders>
              <w:top w:val="nil"/>
              <w:left w:val="nil"/>
              <w:bottom w:val="single" w:color="auto" w:sz="4" w:space="0"/>
              <w:right w:val="nil"/>
            </w:tcBorders>
            <w:shd w:val="clear" w:color="auto" w:fill="FFFFFF" w:themeFill="background1"/>
            <w:vAlign w:val="center"/>
          </w:tcPr>
          <w:p>
            <w:pPr>
              <w:widowControl/>
              <w:jc w:val="center"/>
              <w:rPr>
                <w:rFonts w:ascii="宋体" w:hAnsi="宋体" w:eastAsia="宋体" w:cs="宋体"/>
                <w:b/>
                <w:bCs/>
                <w:color w:val="000000"/>
                <w:kern w:val="0"/>
                <w:sz w:val="28"/>
                <w:szCs w:val="28"/>
              </w:rPr>
            </w:pPr>
            <w:bookmarkStart w:id="0" w:name="_Hlk66122229"/>
            <w:r>
              <w:rPr>
                <w:rFonts w:hint="eastAsia" w:ascii="STZhongsong" w:hAnsi="STZhongsong" w:eastAsia="STZhongsong" w:cs="宋体"/>
                <w:b/>
                <w:bCs/>
                <w:color w:val="000000"/>
                <w:kern w:val="0"/>
                <w:sz w:val="36"/>
                <w:szCs w:val="36"/>
              </w:rPr>
              <w:t>202</w:t>
            </w:r>
            <w:r>
              <w:rPr>
                <w:rFonts w:hint="eastAsia" w:ascii="STZhongsong" w:hAnsi="STZhongsong" w:eastAsia="STZhongsong" w:cs="宋体"/>
                <w:b/>
                <w:bCs/>
                <w:color w:val="000000"/>
                <w:kern w:val="0"/>
                <w:sz w:val="36"/>
                <w:szCs w:val="36"/>
                <w:lang w:val="en-US" w:eastAsia="zh-CN"/>
              </w:rPr>
              <w:t>2</w:t>
            </w:r>
            <w:r>
              <w:rPr>
                <w:rFonts w:hint="eastAsia" w:ascii="STZhongsong" w:hAnsi="STZhongsong" w:eastAsia="STZhongsong" w:cs="宋体"/>
                <w:b/>
                <w:bCs/>
                <w:color w:val="000000"/>
                <w:kern w:val="0"/>
                <w:sz w:val="36"/>
                <w:szCs w:val="36"/>
              </w:rPr>
              <w:t>年度九里小学校本培训活动计划表</w:t>
            </w:r>
            <w:r>
              <w:rPr>
                <w:rFonts w:hint="eastAsia" w:ascii="STZhongsong" w:hAnsi="STZhongsong" w:eastAsia="STZhongsong" w:cs="宋体"/>
                <w:b/>
                <w:bCs/>
                <w:color w:val="000000"/>
                <w:kern w:val="0"/>
                <w:sz w:val="28"/>
                <w:szCs w:val="28"/>
              </w:rPr>
              <w:br w:type="textWrapping"/>
            </w:r>
            <w:r>
              <w:rPr>
                <w:rFonts w:hint="eastAsia" w:ascii="宋体" w:hAnsi="宋体" w:eastAsia="宋体" w:cs="宋体"/>
                <w:b/>
                <w:bCs/>
                <w:color w:val="000000"/>
                <w:kern w:val="0"/>
                <w:sz w:val="28"/>
                <w:szCs w:val="28"/>
              </w:rPr>
              <w:t xml:space="preserve">                                              </w:t>
            </w:r>
            <w:r>
              <w:rPr>
                <w:rFonts w:hint="eastAsia" w:ascii="宋体" w:hAnsi="宋体" w:eastAsia="宋体" w:cs="宋体"/>
                <w:color w:val="000000"/>
                <w:kern w:val="0"/>
                <w:sz w:val="20"/>
                <w:szCs w:val="20"/>
                <w:u w:val="single"/>
              </w:rPr>
              <w:t xml:space="preserve">   202</w:t>
            </w:r>
            <w:r>
              <w:rPr>
                <w:rFonts w:hint="eastAsia" w:ascii="宋体" w:hAnsi="宋体" w:eastAsia="宋体" w:cs="宋体"/>
                <w:color w:val="000000"/>
                <w:kern w:val="0"/>
                <w:sz w:val="20"/>
                <w:szCs w:val="20"/>
                <w:u w:val="single"/>
                <w:lang w:val="en-US" w:eastAsia="zh-CN"/>
              </w:rPr>
              <w:t>2</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rPr>
              <w:t>年</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u w:val="single"/>
                <w:lang w:val="en-US" w:eastAsia="zh-CN"/>
              </w:rPr>
              <w:t>2</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rPr>
              <w:t>月</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u w:val="single"/>
                <w:lang w:val="en-US" w:eastAsia="zh-CN"/>
              </w:rPr>
              <w:t>14</w:t>
            </w:r>
            <w:r>
              <w:rPr>
                <w:rFonts w:hint="eastAsia" w:ascii="宋体" w:hAnsi="宋体" w:eastAsia="宋体" w:cs="宋体"/>
                <w:color w:val="000000"/>
                <w:kern w:val="0"/>
                <w:sz w:val="20"/>
                <w:szCs w:val="20"/>
                <w:u w:val="single"/>
              </w:rPr>
              <w:t xml:space="preserve">  </w:t>
            </w:r>
            <w:r>
              <w:rPr>
                <w:rFonts w:hint="eastAsia" w:ascii="宋体" w:hAnsi="宋体" w:eastAsia="宋体" w:cs="宋体"/>
                <w:color w:val="000000"/>
                <w:kern w:val="0"/>
                <w:sz w:val="20"/>
                <w:szCs w:val="20"/>
              </w:rPr>
              <w:t>日</w:t>
            </w:r>
          </w:p>
        </w:tc>
      </w:tr>
      <w:tr>
        <w:tblPrEx>
          <w:shd w:val="clear" w:color="auto" w:fill="FFFFFF" w:themeFill="background1"/>
          <w:tblCellMar>
            <w:top w:w="0" w:type="dxa"/>
            <w:left w:w="108" w:type="dxa"/>
            <w:bottom w:w="0" w:type="dxa"/>
            <w:right w:w="108" w:type="dxa"/>
          </w:tblCellMar>
        </w:tblPrEx>
        <w:trPr>
          <w:trHeight w:val="270" w:hRule="atLeast"/>
          <w:jc w:val="center"/>
        </w:trPr>
        <w:tc>
          <w:tcPr>
            <w:tcW w:w="480"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794" w:type="dxa"/>
            <w:gridSpan w:val="2"/>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时间</w:t>
            </w:r>
          </w:p>
        </w:tc>
        <w:tc>
          <w:tcPr>
            <w:tcW w:w="1155"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培训项目名称（或类别）</w:t>
            </w:r>
          </w:p>
        </w:tc>
        <w:tc>
          <w:tcPr>
            <w:tcW w:w="2040"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培训主题或内容</w:t>
            </w:r>
          </w:p>
        </w:tc>
        <w:tc>
          <w:tcPr>
            <w:tcW w:w="1067"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培训形式</w:t>
            </w:r>
          </w:p>
        </w:tc>
        <w:tc>
          <w:tcPr>
            <w:tcW w:w="1134"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参训对象及人数</w:t>
            </w:r>
          </w:p>
        </w:tc>
        <w:tc>
          <w:tcPr>
            <w:tcW w:w="1134"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责任部门</w:t>
            </w:r>
          </w:p>
        </w:tc>
        <w:tc>
          <w:tcPr>
            <w:tcW w:w="880"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责任人</w:t>
            </w:r>
          </w:p>
        </w:tc>
        <w:tc>
          <w:tcPr>
            <w:tcW w:w="690"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学时数</w:t>
            </w:r>
          </w:p>
        </w:tc>
        <w:tc>
          <w:tcPr>
            <w:tcW w:w="628" w:type="dxa"/>
            <w:vMerge w:val="restart"/>
            <w:tcBorders>
              <w:top w:val="nil"/>
              <w:left w:val="single" w:color="auto" w:sz="4" w:space="0"/>
              <w:bottom w:val="single" w:color="000000"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备注</w:t>
            </w:r>
          </w:p>
        </w:tc>
      </w:tr>
      <w:tr>
        <w:tblPrEx>
          <w:shd w:val="clear" w:color="auto" w:fill="FFFFFF" w:themeFill="background1"/>
          <w:tblCellMar>
            <w:top w:w="0" w:type="dxa"/>
            <w:left w:w="108" w:type="dxa"/>
            <w:bottom w:w="0" w:type="dxa"/>
            <w:right w:w="108" w:type="dxa"/>
          </w:tblCellMar>
        </w:tblPrEx>
        <w:trPr>
          <w:trHeight w:val="270" w:hRule="atLeast"/>
          <w:jc w:val="center"/>
        </w:trPr>
        <w:tc>
          <w:tcPr>
            <w:tcW w:w="48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729"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月</w:t>
            </w:r>
          </w:p>
        </w:tc>
        <w:tc>
          <w:tcPr>
            <w:tcW w:w="1065" w:type="dxa"/>
            <w:tcBorders>
              <w:top w:val="nil"/>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周</w:t>
            </w:r>
          </w:p>
        </w:tc>
        <w:tc>
          <w:tcPr>
            <w:tcW w:w="1155"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204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1067"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1134"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1134"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88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690"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c>
          <w:tcPr>
            <w:tcW w:w="628" w:type="dxa"/>
            <w:vMerge w:val="continue"/>
            <w:tcBorders>
              <w:top w:val="nil"/>
              <w:left w:val="single" w:color="auto" w:sz="4" w:space="0"/>
              <w:bottom w:val="single" w:color="000000" w:sz="4" w:space="0"/>
              <w:right w:val="single" w:color="auto" w:sz="4" w:space="0"/>
            </w:tcBorders>
            <w:shd w:val="clear" w:color="auto" w:fill="FFFFFF" w:themeFill="background1"/>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bCs/>
                <w:color w:val="000000"/>
                <w:kern w:val="0"/>
                <w:sz w:val="22"/>
              </w:rPr>
              <w:t>2月</w:t>
            </w:r>
            <w:r>
              <w:rPr>
                <w:rFonts w:hint="eastAsia" w:ascii="宋体" w:hAnsi="宋体" w:eastAsia="宋体" w:cs="宋体"/>
                <w:color w:val="000000"/>
                <w:kern w:val="0"/>
                <w:sz w:val="22"/>
              </w:rPr>
              <w:t>　</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教科研培训</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微型课题方案撰写</w:t>
            </w:r>
          </w:p>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论文存在问题与对策</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ind w:firstLine="210" w:firstLineChars="100"/>
              <w:rPr>
                <w:rFonts w:hint="eastAsia" w:ascii="宋体" w:hAnsi="宋体" w:eastAsia="宋体" w:cs="宋体"/>
                <w:color w:val="000000"/>
                <w:kern w:val="0"/>
                <w:szCs w:val="21"/>
                <w:lang w:eastAsia="zh-CN"/>
              </w:rPr>
            </w:pPr>
            <w:r>
              <w:rPr>
                <w:rFonts w:hint="eastAsia" w:ascii="宋体" w:hAnsi="宋体" w:eastAsia="宋体" w:cs="Times New Roman"/>
                <w:bCs/>
                <w:szCs w:val="21"/>
                <w:lang w:val="en-US" w:eastAsia="zh-CN"/>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课程教学中心 </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陈莉</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ind w:firstLine="220" w:firstLineChars="100"/>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kern w:val="0"/>
                <w:szCs w:val="21"/>
              </w:rPr>
            </w:pPr>
            <w:r>
              <w:rPr>
                <w:rFonts w:hint="eastAsia" w:ascii="宋体" w:hAnsi="宋体" w:eastAsia="宋体" w:cs="Times New Roman"/>
                <w:szCs w:val="21"/>
              </w:rPr>
              <w:t>学校管理</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疫情防控培训</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信息服务中心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姜平</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月　</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第3周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p>
          <w:p>
            <w:pPr>
              <w:widowControl/>
              <w:rPr>
                <w:rFonts w:ascii="宋体" w:hAnsi="宋体" w:eastAsia="宋体" w:cs="宋体"/>
                <w:color w:val="000000"/>
                <w:kern w:val="0"/>
                <w:szCs w:val="21"/>
              </w:rPr>
            </w:pPr>
            <w:r>
              <w:rPr>
                <w:rFonts w:hint="eastAsia" w:ascii="宋体" w:hAnsi="宋体" w:eastAsia="宋体" w:cs="宋体"/>
                <w:color w:val="000000"/>
                <w:kern w:val="0"/>
                <w:szCs w:val="21"/>
              </w:rPr>
              <w:t>恩泽讲坛</w:t>
            </w:r>
          </w:p>
          <w:p>
            <w:pPr>
              <w:widowControl/>
              <w:rPr>
                <w:rFonts w:ascii="宋体" w:hAnsi="宋体" w:eastAsia="宋体" w:cs="宋体"/>
                <w:color w:val="000000"/>
                <w:kern w:val="0"/>
                <w:szCs w:val="21"/>
              </w:rPr>
            </w:pP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内容自定</w:t>
            </w:r>
            <w:r>
              <w:rPr>
                <w:rFonts w:ascii="宋体" w:hAnsi="宋体" w:eastAsia="宋体" w:cs="宋体"/>
                <w:color w:val="000000"/>
                <w:kern w:val="0"/>
                <w:szCs w:val="21"/>
              </w:rPr>
              <w:t xml:space="preserve"> </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984"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3</w:t>
            </w:r>
            <w:r>
              <w:rPr>
                <w:rFonts w:hint="eastAsia" w:ascii="宋体" w:hAnsi="宋体" w:eastAsia="宋体" w:cs="宋体"/>
                <w:color w:val="000000"/>
                <w:kern w:val="0"/>
                <w:sz w:val="22"/>
              </w:rPr>
              <w:t>月　</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“双减”背景下作业优化</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4</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3月　</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道德讲堂</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Times New Roman"/>
                <w:bCs/>
                <w:szCs w:val="21"/>
              </w:rPr>
              <w:t>师德建设汇报</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沙龙</w:t>
            </w:r>
          </w:p>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　</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校长室</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陈莉</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Times New Roman"/>
                <w:szCs w:val="21"/>
              </w:rPr>
            </w:pPr>
            <w:r>
              <w:rPr>
                <w:rFonts w:hint="eastAsia" w:ascii="宋体" w:hAnsi="宋体" w:eastAsia="宋体" w:cs="Times New Roman"/>
                <w:szCs w:val="21"/>
              </w:rPr>
              <w:t>研究课</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第7周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Times New Roman"/>
                <w:szCs w:val="21"/>
              </w:rPr>
              <w:t>课题研究</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课题经验分享  </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微课申报撰写</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杨瑜</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4</w:t>
            </w:r>
            <w:r>
              <w:rPr>
                <w:rFonts w:hint="eastAsia" w:ascii="宋体" w:hAnsi="宋体" w:eastAsia="宋体" w:cs="宋体"/>
                <w:color w:val="000000"/>
                <w:kern w:val="0"/>
                <w:sz w:val="22"/>
              </w:rPr>
              <w:t>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第8周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495"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第9周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恩泽讲坛</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读书心得</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1038"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第10周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道德讲堂</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“月度人物”评选</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行政发展中心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吴建新</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22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第11周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班级管理研究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班主任会议：特色活动策划</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全体班主任</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学生活动中心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路英</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327" w:hRule="atLeast"/>
          <w:jc w:val="center"/>
        </w:trPr>
        <w:tc>
          <w:tcPr>
            <w:tcW w:w="480" w:type="dxa"/>
            <w:tcBorders>
              <w:top w:val="nil"/>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729"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月</w:t>
            </w:r>
          </w:p>
        </w:tc>
        <w:tc>
          <w:tcPr>
            <w:tcW w:w="1065"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第12周　</w:t>
            </w:r>
          </w:p>
        </w:tc>
        <w:tc>
          <w:tcPr>
            <w:tcW w:w="1155" w:type="dxa"/>
            <w:tcBorders>
              <w:top w:val="nil"/>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nil"/>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nil"/>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nil"/>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shd w:val="clear" w:color="auto" w:fill="FFFFFF" w:themeFill="background1"/>
          <w:tblCellMar>
            <w:top w:w="0" w:type="dxa"/>
            <w:left w:w="108" w:type="dxa"/>
            <w:bottom w:w="0" w:type="dxa"/>
            <w:right w:w="108" w:type="dxa"/>
          </w:tblCellMar>
        </w:tblPrEx>
        <w:trPr>
          <w:trHeight w:val="1229"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第13周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Times New Roman"/>
                <w:szCs w:val="21"/>
              </w:rPr>
            </w:pPr>
            <w:r>
              <w:rPr>
                <w:rFonts w:hint="eastAsia" w:ascii="宋体" w:hAnsi="宋体" w:eastAsia="宋体" w:cs="Times New Roman"/>
                <w:szCs w:val="21"/>
              </w:rPr>
              <w:t>不同备课组课程资源的交流</w:t>
            </w:r>
          </w:p>
          <w:p>
            <w:pPr>
              <w:widowControl/>
              <w:rPr>
                <w:rFonts w:ascii="宋体" w:hAnsi="宋体" w:eastAsia="宋体" w:cs="宋体"/>
                <w:color w:val="000000"/>
                <w:kern w:val="0"/>
                <w:szCs w:val="21"/>
              </w:rPr>
            </w:pPr>
            <w:r>
              <w:rPr>
                <w:rFonts w:hint="eastAsia" w:ascii="宋体" w:hAnsi="宋体" w:eastAsia="宋体" w:cs="Times New Roman"/>
                <w:szCs w:val="21"/>
              </w:rPr>
              <w:t>理论学习：资源的开发与利用</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课程教学中心 </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202"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第14周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Times New Roman"/>
                <w:szCs w:val="21"/>
              </w:rPr>
            </w:pPr>
            <w:r>
              <w:rPr>
                <w:rFonts w:hint="eastAsia" w:ascii="宋体" w:hAnsi="宋体" w:eastAsia="宋体" w:cs="Times New Roman"/>
                <w:szCs w:val="21"/>
              </w:rPr>
              <w:t>恩泽讲坛</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内容自定</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88"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第15周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34"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第16周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课题研究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微型课题阶段小结：中期汇报</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17"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第17周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恩泽讲坛</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numPr>
                <w:ilvl w:val="0"/>
                <w:numId w:val="0"/>
              </w:numPr>
              <w:ind w:leftChars="0"/>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内容自定</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r>
              <w:rPr>
                <w:rFonts w:hint="eastAsia" w:ascii="宋体" w:hAnsi="宋体" w:eastAsia="宋体" w:cs="宋体"/>
                <w:color w:val="000000"/>
                <w:kern w:val="0"/>
                <w:szCs w:val="21"/>
              </w:rPr>
              <w:t>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77"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第18周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班级管理研究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品格提升工程汇报</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Times New Roman"/>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 xml:space="preserve"> 学生活动中心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路英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47"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第19周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 xml:space="preserve">课堂教学研究 </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kern w:val="0"/>
                <w:szCs w:val="21"/>
              </w:rPr>
              <w:t>质量研讨及特色课程汇报</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b/>
                <w:bCs/>
                <w:color w:val="000000"/>
                <w:kern w:val="0"/>
                <w:sz w:val="22"/>
              </w:rPr>
            </w:pPr>
          </w:p>
        </w:tc>
      </w:tr>
      <w:tr>
        <w:tblPrEx>
          <w:shd w:val="clear" w:color="auto" w:fill="FFFFFF" w:themeFill="background1"/>
          <w:tblCellMar>
            <w:top w:w="0" w:type="dxa"/>
            <w:left w:w="108" w:type="dxa"/>
            <w:bottom w:w="0" w:type="dxa"/>
            <w:right w:w="108" w:type="dxa"/>
          </w:tblCellMar>
        </w:tblPrEx>
        <w:trPr>
          <w:trHeight w:val="917"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p>
            <w:pPr>
              <w:widowControl/>
              <w:jc w:val="center"/>
              <w:rPr>
                <w:rFonts w:ascii="宋体" w:hAnsi="宋体" w:eastAsia="宋体" w:cs="宋体"/>
                <w:color w:val="000000"/>
                <w:kern w:val="0"/>
                <w:sz w:val="22"/>
              </w:rPr>
            </w:pP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教研组及备课组常规培训：以读促思  夯实常规</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91"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21</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学校管理</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学校通识培训</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（文化、常规、班级管理 等）</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校长室</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正副校长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78"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22</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tabs>
                <w:tab w:val="left" w:pos="312"/>
              </w:tabs>
              <w:jc w:val="left"/>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学校管理</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团队领导力建设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szCs w:val="21"/>
              </w:rPr>
              <w:t>行政干部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校长室</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正副校长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44"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23</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tabs>
                <w:tab w:val="left" w:pos="312"/>
              </w:tabs>
              <w:jc w:val="left"/>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学校管理</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专家讲座</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校长报告</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一年级全体家长</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学生活动中心</w:t>
            </w:r>
          </w:p>
          <w:p>
            <w:pPr>
              <w:widowControl/>
              <w:rPr>
                <w:rFonts w:ascii="宋体" w:hAnsi="宋体" w:eastAsia="宋体" w:cs="宋体"/>
                <w:color w:val="000000"/>
                <w:kern w:val="0"/>
                <w:szCs w:val="21"/>
              </w:rPr>
            </w:pPr>
            <w:r>
              <w:rPr>
                <w:rFonts w:hint="eastAsia" w:ascii="宋体" w:hAnsi="宋体" w:eastAsia="宋体" w:cs="宋体"/>
                <w:color w:val="000000"/>
                <w:kern w:val="0"/>
                <w:szCs w:val="21"/>
              </w:rPr>
              <w:t>校长室</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贾建刚</w:t>
            </w: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路英</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44"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学校管理</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团队凝聚力建设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团队拓展</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信息服务中心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姜平</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79"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25</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备课组有效集备教研组计划交流</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val="en-US" w:eastAsia="zh-CN"/>
              </w:rPr>
              <w:t>教研组长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5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26</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班级管理研究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班级文化建设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学生活动中心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路英</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52"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27</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bCs/>
                <w:color w:val="000000"/>
                <w:kern w:val="0"/>
                <w:szCs w:val="21"/>
              </w:rPr>
            </w:pPr>
            <w:r>
              <w:rPr>
                <w:rFonts w:hint="eastAsia" w:ascii="宋体" w:hAnsi="宋体" w:eastAsia="宋体" w:cs="宋体"/>
                <w:bCs/>
                <w:color w:val="000000"/>
                <w:kern w:val="0"/>
                <w:szCs w:val="21"/>
              </w:rPr>
              <w:t>8月中下旬</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学校管理</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学校工作计划交流</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校长室</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正副校长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90"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28</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tabs>
                <w:tab w:val="left" w:pos="1260"/>
              </w:tabs>
              <w:rPr>
                <w:rFonts w:ascii="宋体" w:hAnsi="宋体" w:eastAsia="宋体" w:cs="Times New Roman"/>
                <w:bCs/>
                <w:szCs w:val="21"/>
              </w:rPr>
            </w:pPr>
            <w:r>
              <w:rPr>
                <w:rFonts w:hint="eastAsia" w:ascii="宋体" w:hAnsi="宋体" w:eastAsia="宋体" w:cs="宋体"/>
                <w:color w:val="000000"/>
                <w:kern w:val="0"/>
                <w:szCs w:val="21"/>
              </w:rPr>
              <w:t>道德讲堂</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spacing w:line="340" w:lineRule="exact"/>
              <w:rPr>
                <w:rFonts w:ascii="宋体" w:hAnsi="宋体" w:eastAsia="宋体" w:cs="Times New Roman"/>
                <w:bCs/>
                <w:szCs w:val="21"/>
              </w:rPr>
            </w:pPr>
            <w:r>
              <w:rPr>
                <w:rFonts w:hint="eastAsia" w:ascii="宋体" w:hAnsi="宋体" w:eastAsia="宋体" w:cs="Times New Roman"/>
                <w:bCs/>
                <w:szCs w:val="21"/>
              </w:rPr>
              <w:t>青年教师师德演讲展示</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行政发展中心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吴建新</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259"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29</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第2周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青蓝工程</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Times New Roman"/>
                <w:bCs/>
                <w:szCs w:val="21"/>
              </w:rPr>
              <w:t>青蓝工程结对仪式、青年教师成长营</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杨瑜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693"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30</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第3周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教师技能</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翰墨飘香 提升技能</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李如光</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23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31</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第4周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821"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32</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第5周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恩泽讲坛</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恩泽讲坛</w:t>
            </w:r>
            <w:r>
              <w:rPr>
                <w:rFonts w:ascii="宋体" w:hAnsi="宋体" w:eastAsia="宋体" w:cs="宋体"/>
                <w:color w:val="000000"/>
                <w:kern w:val="0"/>
                <w:szCs w:val="21"/>
              </w:rPr>
              <w:t xml:space="preserve"> </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949"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33</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第6周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班级管理研究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Times New Roman"/>
                <w:bCs/>
                <w:szCs w:val="21"/>
              </w:rPr>
              <w:t>育人特色展风采  扬帆立志趁年华</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学生活动中心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路英</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1178"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34</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第7周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 xml:space="preserve">课堂教学研究 </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29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35</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第8周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道德讲堂</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道德讲堂</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行政发展中心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吴建新</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26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第9周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p>
            <w:pPr>
              <w:widowControl/>
              <w:rPr>
                <w:rFonts w:ascii="宋体" w:hAnsi="宋体" w:eastAsia="宋体" w:cs="宋体"/>
                <w:color w:val="000000"/>
                <w:kern w:val="0"/>
                <w:szCs w:val="21"/>
              </w:rPr>
            </w:pP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605"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37</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第10周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恩泽讲坛</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内容自定</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696"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38</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第11周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381"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39</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第12周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道德讲堂</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道德讲堂</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行政发展中心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吴建新</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14"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第13周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385"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41</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第14周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恩泽讲坛</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内容自定</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交流</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梁茜茜</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45"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42</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第15周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rPr>
                <w:rFonts w:ascii="宋体" w:hAnsi="宋体" w:eastAsia="宋体" w:cs="宋体"/>
                <w:color w:val="000000"/>
                <w:kern w:val="0"/>
                <w:szCs w:val="21"/>
              </w:rPr>
            </w:pPr>
            <w:r>
              <w:rPr>
                <w:rFonts w:hint="eastAsia" w:ascii="宋体" w:hAnsi="宋体" w:eastAsia="宋体" w:cs="Times New Roman"/>
                <w:szCs w:val="21"/>
              </w:rPr>
              <w:t>研究课</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宋体"/>
                <w:color w:val="000000"/>
                <w:kern w:val="0"/>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567"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43</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第16周</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ascii="宋体" w:hAnsi="宋体" w:eastAsia="宋体" w:cs="宋体"/>
                <w:color w:val="000000"/>
                <w:kern w:val="0"/>
                <w:szCs w:val="21"/>
              </w:rPr>
              <w:t>课程建设</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szCs w:val="21"/>
                <w:shd w:val="clear" w:color="auto" w:fill="FFFFFF"/>
                <w:lang w:val="en-US" w:eastAsia="zh-CN"/>
              </w:rPr>
              <w:t>课后服务品质提升</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rPr>
                <w:rFonts w:ascii="宋体" w:hAnsi="宋体" w:eastAsia="宋体" w:cs="宋体"/>
                <w:color w:val="000000"/>
                <w:kern w:val="0"/>
                <w:szCs w:val="21"/>
              </w:rPr>
            </w:pPr>
            <w:r>
              <w:rPr>
                <w:rFonts w:hint="eastAsia" w:ascii="宋体" w:hAnsi="宋体" w:eastAsia="宋体" w:cs="Times New Roman"/>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行政干部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陈莉</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53"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44</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val="en-US" w:eastAsia="zh-CN"/>
              </w:rPr>
              <w:t>17</w:t>
            </w:r>
            <w:r>
              <w:rPr>
                <w:rFonts w:hint="eastAsia" w:ascii="宋体" w:hAnsi="宋体" w:eastAsia="宋体" w:cs="宋体"/>
                <w:color w:val="000000"/>
                <w:kern w:val="0"/>
                <w:szCs w:val="21"/>
              </w:rPr>
              <w:t>周</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Times New Roman"/>
                <w:szCs w:val="21"/>
              </w:rPr>
            </w:pPr>
            <w:r>
              <w:rPr>
                <w:rFonts w:hint="eastAsia" w:ascii="宋体" w:hAnsi="宋体" w:eastAsia="宋体" w:cs="Times New Roman"/>
                <w:szCs w:val="21"/>
              </w:rPr>
              <w:t>道德讲堂</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道德讲堂</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讲座</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行政发展中心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吴建新</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Calibri" w:hAnsi="Calibri" w:eastAsia="宋体" w:cs="Times New Roman"/>
              </w:rPr>
            </w:pPr>
            <w:r>
              <w:rPr>
                <w:rFonts w:hint="eastAsia" w:ascii="Calibri" w:hAnsi="Calibri" w:eastAsia="宋体" w:cs="Times New Roman"/>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Calibri" w:hAnsi="Calibri" w:eastAsia="宋体" w:cs="Times New Roman"/>
              </w:rPr>
            </w:pPr>
          </w:p>
        </w:tc>
      </w:tr>
      <w:tr>
        <w:tblPrEx>
          <w:shd w:val="clear" w:color="auto" w:fill="FFFFFF" w:themeFill="background1"/>
          <w:tblCellMar>
            <w:top w:w="0" w:type="dxa"/>
            <w:left w:w="108" w:type="dxa"/>
            <w:bottom w:w="0" w:type="dxa"/>
            <w:right w:w="108" w:type="dxa"/>
          </w:tblCellMar>
        </w:tblPrEx>
        <w:trPr>
          <w:trHeight w:val="760"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45</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　</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课题研究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微型课题结题汇报</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阶段总结</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教研组</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教研组长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45"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46</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1月</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第1</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周</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班级管理研究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演绎教育故事  聆听最美声音</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10" w:firstLineChars="100"/>
              <w:jc w:val="center"/>
              <w:rPr>
                <w:rFonts w:ascii="宋体" w:hAnsi="宋体" w:eastAsia="宋体" w:cs="Times New Roman"/>
                <w:szCs w:val="21"/>
              </w:rPr>
            </w:pPr>
            <w:r>
              <w:rPr>
                <w:rFonts w:hint="eastAsia" w:ascii="宋体" w:hAnsi="宋体" w:eastAsia="宋体" w:cs="Times New Roman"/>
                <w:szCs w:val="21"/>
              </w:rPr>
              <w:t>沙龙</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　班主任</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学生活动中心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路英　</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ind w:firstLine="220" w:firstLineChars="100"/>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468" w:hRule="atLeast"/>
          <w:jc w:val="center"/>
        </w:trPr>
        <w:tc>
          <w:tcPr>
            <w:tcW w:w="480"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47</w:t>
            </w:r>
          </w:p>
        </w:tc>
        <w:tc>
          <w:tcPr>
            <w:tcW w:w="729"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 w:val="22"/>
              </w:rPr>
            </w:pPr>
            <w:r>
              <w:rPr>
                <w:rFonts w:hint="eastAsia" w:ascii="宋体" w:hAnsi="宋体" w:eastAsia="宋体" w:cs="宋体"/>
                <w:color w:val="000000"/>
                <w:kern w:val="0"/>
                <w:sz w:val="22"/>
              </w:rPr>
              <w:t>1月　</w:t>
            </w:r>
          </w:p>
        </w:tc>
        <w:tc>
          <w:tcPr>
            <w:tcW w:w="106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w:t>
            </w:r>
            <w:r>
              <w:rPr>
                <w:rFonts w:hint="eastAsia" w:ascii="宋体" w:hAnsi="宋体" w:eastAsia="宋体" w:cs="宋体"/>
                <w:color w:val="000000"/>
                <w:kern w:val="0"/>
                <w:szCs w:val="21"/>
                <w:lang w:val="en-US" w:eastAsia="zh-CN"/>
              </w:rPr>
              <w:t>20</w:t>
            </w:r>
            <w:r>
              <w:rPr>
                <w:rFonts w:hint="eastAsia" w:ascii="宋体" w:hAnsi="宋体" w:eastAsia="宋体" w:cs="宋体"/>
                <w:color w:val="000000"/>
                <w:kern w:val="0"/>
                <w:szCs w:val="21"/>
              </w:rPr>
              <w:t>周　</w:t>
            </w:r>
          </w:p>
        </w:tc>
        <w:tc>
          <w:tcPr>
            <w:tcW w:w="1155"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rPr>
                <w:rFonts w:ascii="宋体" w:hAnsi="宋体" w:eastAsia="宋体" w:cs="宋体"/>
                <w:color w:val="000000"/>
                <w:kern w:val="0"/>
                <w:szCs w:val="21"/>
              </w:rPr>
            </w:pPr>
            <w:r>
              <w:rPr>
                <w:rFonts w:hint="eastAsia" w:ascii="宋体" w:hAnsi="宋体" w:eastAsia="宋体" w:cs="宋体"/>
                <w:kern w:val="0"/>
                <w:szCs w:val="21"/>
              </w:rPr>
              <w:t>课堂教学研究</w:t>
            </w:r>
          </w:p>
        </w:tc>
        <w:tc>
          <w:tcPr>
            <w:tcW w:w="204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期末质量研讨</w:t>
            </w:r>
          </w:p>
        </w:tc>
        <w:tc>
          <w:tcPr>
            <w:tcW w:w="1067"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研讨</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Times New Roman"/>
                <w:szCs w:val="21"/>
              </w:rPr>
            </w:pPr>
            <w:r>
              <w:rPr>
                <w:rFonts w:hint="eastAsia" w:ascii="宋体" w:hAnsi="宋体" w:eastAsia="宋体" w:cs="Times New Roman"/>
                <w:szCs w:val="21"/>
              </w:rPr>
              <w:t>全体教师</w:t>
            </w:r>
          </w:p>
        </w:tc>
        <w:tc>
          <w:tcPr>
            <w:tcW w:w="1134"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Times New Roman"/>
                <w:szCs w:val="21"/>
              </w:rPr>
            </w:pPr>
            <w:r>
              <w:rPr>
                <w:rFonts w:hint="eastAsia" w:ascii="宋体" w:hAnsi="宋体" w:eastAsia="宋体" w:cs="Times New Roman"/>
                <w:szCs w:val="21"/>
              </w:rPr>
              <w:t>课程教学中心</w:t>
            </w:r>
          </w:p>
        </w:tc>
        <w:tc>
          <w:tcPr>
            <w:tcW w:w="88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教研组长</w:t>
            </w:r>
          </w:p>
        </w:tc>
        <w:tc>
          <w:tcPr>
            <w:tcW w:w="690"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628" w:type="dxa"/>
            <w:tcBorders>
              <w:top w:val="single" w:color="auto" w:sz="4" w:space="0"/>
              <w:left w:val="nil"/>
              <w:bottom w:val="single" w:color="auto" w:sz="4" w:space="0"/>
              <w:right w:val="single" w:color="auto" w:sz="4" w:space="0"/>
            </w:tcBorders>
            <w:shd w:val="clear" w:color="auto" w:fill="FFFFFF" w:themeFill="background1"/>
            <w:noWrap/>
            <w:vAlign w:val="center"/>
          </w:tcPr>
          <w:p>
            <w:pPr>
              <w:widowControl/>
              <w:jc w:val="left"/>
              <w:rPr>
                <w:rFonts w:ascii="宋体" w:hAnsi="宋体" w:eastAsia="宋体" w:cs="宋体"/>
                <w:color w:val="000000"/>
                <w:kern w:val="0"/>
                <w:sz w:val="22"/>
              </w:rPr>
            </w:pPr>
          </w:p>
        </w:tc>
      </w:tr>
      <w:tr>
        <w:tblPrEx>
          <w:shd w:val="clear" w:color="auto" w:fill="FFFFFF" w:themeFill="background1"/>
          <w:tblCellMar>
            <w:top w:w="0" w:type="dxa"/>
            <w:left w:w="108" w:type="dxa"/>
            <w:bottom w:w="0" w:type="dxa"/>
            <w:right w:w="108" w:type="dxa"/>
          </w:tblCellMar>
        </w:tblPrEx>
        <w:trPr>
          <w:trHeight w:val="828" w:hRule="atLeast"/>
          <w:jc w:val="center"/>
        </w:trPr>
        <w:tc>
          <w:tcPr>
            <w:tcW w:w="11002" w:type="dxa"/>
            <w:gridSpan w:val="11"/>
            <w:tcBorders>
              <w:top w:val="nil"/>
              <w:left w:val="single" w:color="auto" w:sz="4" w:space="0"/>
              <w:bottom w:val="single" w:color="auto" w:sz="4" w:space="0"/>
              <w:right w:val="single" w:color="auto" w:sz="4" w:space="0"/>
            </w:tcBorders>
            <w:shd w:val="clear" w:color="auto" w:fill="FFFFFF" w:themeFill="background1"/>
            <w:noWrap/>
            <w:vAlign w:val="center"/>
          </w:tcPr>
          <w:p>
            <w:pPr>
              <w:widowControl/>
              <w:ind w:left="442" w:hanging="442" w:hangingChars="200"/>
              <w:rPr>
                <w:rFonts w:ascii="宋体" w:hAnsi="宋体" w:eastAsia="宋体" w:cs="宋体"/>
                <w:color w:val="000000"/>
                <w:kern w:val="0"/>
                <w:sz w:val="22"/>
                <w:shd w:val="clear" w:color="auto" w:fill="FFFFFF" w:themeFill="background1"/>
              </w:rPr>
            </w:pPr>
            <w:r>
              <w:rPr>
                <w:rFonts w:hint="eastAsia" w:ascii="宋体" w:hAnsi="宋体" w:eastAsia="宋体" w:cs="宋体"/>
                <w:b/>
                <w:bCs/>
                <w:color w:val="000000"/>
                <w:kern w:val="0"/>
                <w:sz w:val="22"/>
                <w:shd w:val="clear" w:color="auto" w:fill="FFFFFF" w:themeFill="background1"/>
              </w:rPr>
              <w:t>培训项目课时：</w:t>
            </w:r>
            <w:r>
              <w:rPr>
                <w:rFonts w:hint="eastAsia" w:ascii="宋体" w:hAnsi="宋体" w:eastAsia="宋体" w:cs="宋体"/>
                <w:color w:val="000000"/>
                <w:kern w:val="0"/>
                <w:sz w:val="22"/>
                <w:shd w:val="clear" w:color="auto" w:fill="FFFFFF" w:themeFill="background1"/>
              </w:rPr>
              <w:t>课堂教学研究：</w:t>
            </w:r>
            <w:r>
              <w:rPr>
                <w:rFonts w:hint="eastAsia" w:ascii="宋体" w:hAnsi="宋体" w:eastAsia="宋体" w:cs="宋体"/>
                <w:color w:val="000000"/>
                <w:kern w:val="0"/>
                <w:sz w:val="22"/>
                <w:shd w:val="clear" w:color="auto" w:fill="FFFFFF" w:themeFill="background1"/>
                <w:lang w:val="en-US" w:eastAsia="zh-CN"/>
              </w:rPr>
              <w:t>48</w:t>
            </w:r>
            <w:r>
              <w:rPr>
                <w:rFonts w:hint="eastAsia" w:ascii="宋体" w:hAnsi="宋体" w:eastAsia="宋体" w:cs="宋体"/>
                <w:color w:val="000000"/>
                <w:kern w:val="0"/>
                <w:sz w:val="22"/>
                <w:shd w:val="clear" w:color="auto" w:fill="FFFFFF" w:themeFill="background1"/>
              </w:rPr>
              <w:t>学时   道德讲堂：1</w:t>
            </w:r>
            <w:r>
              <w:rPr>
                <w:rFonts w:ascii="宋体" w:hAnsi="宋体" w:eastAsia="宋体" w:cs="宋体"/>
                <w:color w:val="000000"/>
                <w:kern w:val="0"/>
                <w:sz w:val="22"/>
                <w:shd w:val="clear" w:color="auto" w:fill="FFFFFF" w:themeFill="background1"/>
              </w:rPr>
              <w:t>2</w:t>
            </w:r>
            <w:r>
              <w:rPr>
                <w:rFonts w:hint="eastAsia" w:ascii="宋体" w:hAnsi="宋体" w:eastAsia="宋体" w:cs="宋体"/>
                <w:color w:val="000000"/>
                <w:kern w:val="0"/>
                <w:sz w:val="22"/>
                <w:shd w:val="clear" w:color="auto" w:fill="FFFFFF" w:themeFill="background1"/>
              </w:rPr>
              <w:t>课时   恩泽讲坛：</w:t>
            </w:r>
            <w:r>
              <w:rPr>
                <w:rFonts w:ascii="宋体" w:hAnsi="宋体" w:eastAsia="宋体" w:cs="宋体"/>
                <w:color w:val="000000"/>
                <w:kern w:val="0"/>
                <w:sz w:val="22"/>
                <w:shd w:val="clear" w:color="auto" w:fill="FFFFFF" w:themeFill="background1"/>
              </w:rPr>
              <w:t>14</w:t>
            </w:r>
            <w:r>
              <w:rPr>
                <w:rFonts w:hint="eastAsia" w:ascii="宋体" w:hAnsi="宋体" w:eastAsia="宋体" w:cs="宋体"/>
                <w:color w:val="000000"/>
                <w:kern w:val="0"/>
                <w:sz w:val="22"/>
                <w:shd w:val="clear" w:color="auto" w:fill="FFFFFF" w:themeFill="background1"/>
              </w:rPr>
              <w:t>课时   课题研究：</w:t>
            </w:r>
            <w:r>
              <w:rPr>
                <w:rFonts w:hint="eastAsia" w:ascii="宋体" w:hAnsi="宋体" w:eastAsia="宋体" w:cs="宋体"/>
                <w:color w:val="000000"/>
                <w:kern w:val="0"/>
                <w:sz w:val="22"/>
                <w:shd w:val="clear" w:color="auto" w:fill="FFFFFF" w:themeFill="background1"/>
                <w:lang w:val="en-US" w:eastAsia="zh-CN"/>
              </w:rPr>
              <w:t>10</w:t>
            </w:r>
            <w:r>
              <w:rPr>
                <w:rFonts w:hint="eastAsia" w:ascii="宋体" w:hAnsi="宋体" w:eastAsia="宋体" w:cs="宋体"/>
                <w:color w:val="000000"/>
                <w:kern w:val="0"/>
                <w:sz w:val="22"/>
                <w:shd w:val="clear" w:color="auto" w:fill="FFFFFF" w:themeFill="background1"/>
              </w:rPr>
              <w:t>课时   学校管理：</w:t>
            </w:r>
            <w:r>
              <w:rPr>
                <w:rFonts w:ascii="宋体" w:hAnsi="宋体" w:eastAsia="宋体" w:cs="宋体"/>
                <w:color w:val="000000"/>
                <w:kern w:val="0"/>
                <w:sz w:val="22"/>
                <w:shd w:val="clear" w:color="auto" w:fill="FFFFFF" w:themeFill="background1"/>
              </w:rPr>
              <w:t>17</w:t>
            </w:r>
            <w:r>
              <w:rPr>
                <w:rFonts w:hint="eastAsia" w:ascii="宋体" w:hAnsi="宋体" w:eastAsia="宋体" w:cs="宋体"/>
                <w:color w:val="000000"/>
                <w:kern w:val="0"/>
                <w:sz w:val="22"/>
                <w:shd w:val="clear" w:color="auto" w:fill="FFFFFF" w:themeFill="background1"/>
              </w:rPr>
              <w:t>课时  班级管理研究：1</w:t>
            </w:r>
            <w:r>
              <w:rPr>
                <w:rFonts w:ascii="宋体" w:hAnsi="宋体" w:eastAsia="宋体" w:cs="宋体"/>
                <w:color w:val="000000"/>
                <w:kern w:val="0"/>
                <w:sz w:val="22"/>
                <w:shd w:val="clear" w:color="auto" w:fill="FFFFFF" w:themeFill="background1"/>
              </w:rPr>
              <w:t>2</w:t>
            </w:r>
            <w:r>
              <w:rPr>
                <w:rFonts w:hint="eastAsia" w:ascii="宋体" w:hAnsi="宋体" w:eastAsia="宋体" w:cs="宋体"/>
                <w:color w:val="000000"/>
                <w:kern w:val="0"/>
                <w:sz w:val="22"/>
                <w:shd w:val="clear" w:color="auto" w:fill="FFFFFF" w:themeFill="background1"/>
              </w:rPr>
              <w:t>课时   课程建设：2课时   青蓝工程：3课时    教师技能</w:t>
            </w:r>
            <w:r>
              <w:rPr>
                <w:rFonts w:hint="eastAsia" w:ascii="宋体" w:hAnsi="宋体" w:eastAsia="宋体" w:cs="宋体"/>
                <w:color w:val="000000"/>
                <w:kern w:val="0"/>
                <w:sz w:val="22"/>
                <w:shd w:val="clear" w:color="auto" w:fill="FFFFFF" w:themeFill="background1"/>
                <w:lang w:eastAsia="zh-CN"/>
              </w:rPr>
              <w:t>：</w:t>
            </w:r>
            <w:r>
              <w:rPr>
                <w:rFonts w:hint="eastAsia" w:ascii="宋体" w:hAnsi="宋体" w:eastAsia="宋体" w:cs="宋体"/>
                <w:color w:val="000000"/>
                <w:kern w:val="0"/>
                <w:sz w:val="22"/>
                <w:shd w:val="clear" w:color="auto" w:fill="FFFFFF" w:themeFill="background1"/>
              </w:rPr>
              <w:t>2课时</w:t>
            </w:r>
            <w:r>
              <w:rPr>
                <w:rFonts w:hint="eastAsia" w:ascii="宋体" w:hAnsi="宋体" w:eastAsia="宋体" w:cs="宋体"/>
                <w:b/>
                <w:bCs/>
                <w:color w:val="000000"/>
                <w:kern w:val="0"/>
                <w:sz w:val="22"/>
                <w:shd w:val="clear" w:color="auto" w:fill="FFFFFF" w:themeFill="background1"/>
              </w:rPr>
              <w:t xml:space="preserve"> </w:t>
            </w:r>
          </w:p>
        </w:tc>
      </w:tr>
      <w:tr>
        <w:tblPrEx>
          <w:tblCellMar>
            <w:top w:w="0" w:type="dxa"/>
            <w:left w:w="108" w:type="dxa"/>
            <w:bottom w:w="0" w:type="dxa"/>
            <w:right w:w="108" w:type="dxa"/>
          </w:tblCellMar>
        </w:tblPrEx>
        <w:trPr>
          <w:trHeight w:val="558" w:hRule="atLeast"/>
          <w:jc w:val="center"/>
        </w:trPr>
        <w:tc>
          <w:tcPr>
            <w:tcW w:w="11002" w:type="dxa"/>
            <w:gridSpan w:val="11"/>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widowControl/>
              <w:jc w:val="center"/>
              <w:rPr>
                <w:rFonts w:ascii="宋体" w:hAnsi="宋体" w:eastAsia="宋体" w:cs="宋体"/>
                <w:color w:val="000000"/>
                <w:kern w:val="0"/>
                <w:sz w:val="22"/>
                <w:shd w:val="clear" w:color="auto" w:fill="FFFFFF" w:themeFill="background1"/>
              </w:rPr>
            </w:pPr>
            <w:r>
              <w:rPr>
                <w:rFonts w:hint="eastAsia" w:ascii="宋体" w:hAnsi="宋体" w:eastAsia="宋体" w:cs="宋体"/>
                <w:b/>
                <w:bCs/>
                <w:color w:val="000000"/>
                <w:kern w:val="0"/>
                <w:sz w:val="22"/>
                <w:shd w:val="clear" w:color="auto" w:fill="FFFFFF" w:themeFill="background1"/>
              </w:rPr>
              <w:t>合计学时总数   12</w:t>
            </w:r>
            <w:r>
              <w:rPr>
                <w:rFonts w:ascii="宋体" w:hAnsi="宋体" w:eastAsia="宋体" w:cs="宋体"/>
                <w:b/>
                <w:bCs/>
                <w:color w:val="000000"/>
                <w:kern w:val="0"/>
                <w:sz w:val="22"/>
                <w:shd w:val="clear" w:color="auto" w:fill="FFFFFF" w:themeFill="background1"/>
              </w:rPr>
              <w:t>0</w:t>
            </w:r>
            <w:r>
              <w:rPr>
                <w:rFonts w:hint="eastAsia" w:ascii="宋体" w:hAnsi="宋体" w:eastAsia="宋体" w:cs="宋体"/>
                <w:b/>
                <w:bCs/>
                <w:color w:val="000000"/>
                <w:kern w:val="0"/>
                <w:sz w:val="22"/>
                <w:shd w:val="clear" w:color="auto" w:fill="FFFFFF" w:themeFill="background1"/>
              </w:rPr>
              <w:t xml:space="preserve"> 学时</w:t>
            </w:r>
          </w:p>
        </w:tc>
      </w:tr>
    </w:tbl>
    <w:p>
      <w:pPr>
        <w:jc w:val="left"/>
        <w:rPr>
          <w:rFonts w:ascii="Calibri" w:hAnsi="Calibri" w:eastAsia="宋体" w:cs="Times New Roman"/>
        </w:rPr>
      </w:pPr>
    </w:p>
    <w:p>
      <w:pPr>
        <w:shd w:val="clear" w:color="auto" w:fill="FFFFFF" w:themeFill="background1"/>
        <w:jc w:val="left"/>
        <w:rPr>
          <w:rFonts w:ascii="Calibri" w:hAnsi="Calibri" w:eastAsia="宋体" w:cs="Times New Roman"/>
        </w:rPr>
      </w:pPr>
      <w:r>
        <w:rPr>
          <w:rFonts w:hint="eastAsia" w:ascii="Calibri" w:hAnsi="Calibri" w:eastAsia="宋体" w:cs="Times New Roman"/>
        </w:rPr>
        <w:t>注：1、全体教师</w:t>
      </w:r>
      <w:r>
        <w:rPr>
          <w:rFonts w:hint="eastAsia" w:ascii="Calibri" w:hAnsi="Calibri" w:eastAsia="宋体" w:cs="Times New Roman"/>
          <w:b/>
          <w:bCs/>
        </w:rPr>
        <w:t>至少每月有一次不少于4学时</w:t>
      </w:r>
      <w:r>
        <w:rPr>
          <w:rFonts w:hint="eastAsia" w:ascii="Calibri" w:hAnsi="Calibri" w:eastAsia="宋体" w:cs="Times New Roman"/>
        </w:rPr>
        <w:t>的校本培训学习机会，培训项目根据各校实际自定类别名称，培训内容应涵盖</w:t>
      </w:r>
      <w:r>
        <w:rPr>
          <w:rFonts w:hint="eastAsia" w:ascii="Calibri" w:hAnsi="Calibri" w:eastAsia="宋体" w:cs="Times New Roman"/>
          <w:b/>
          <w:bCs/>
        </w:rPr>
        <w:t>道德讲堂、教育、教学、课题研究、学校管理</w:t>
      </w:r>
      <w:r>
        <w:rPr>
          <w:rFonts w:hint="eastAsia" w:ascii="Calibri" w:hAnsi="Calibri" w:eastAsia="宋体" w:cs="Times New Roman"/>
        </w:rPr>
        <w:t>等各方面内容，培训形式可多样化：</w:t>
      </w:r>
      <w:r>
        <w:rPr>
          <w:rFonts w:hint="eastAsia" w:ascii="Calibri" w:hAnsi="Calibri" w:eastAsia="宋体" w:cs="Times New Roman"/>
          <w:b/>
          <w:bCs/>
        </w:rPr>
        <w:t>专家讲座、沙龙、研讨等，建议线下线上结合开展。学时数计算：每40-45分钟为1学时，每半天至多计4学时</w:t>
      </w:r>
      <w:r>
        <w:rPr>
          <w:rFonts w:hint="eastAsia" w:ascii="Calibri" w:hAnsi="Calibri" w:eastAsia="宋体" w:cs="Times New Roman"/>
        </w:rPr>
        <w:t>。2、培训计划应于每年寒假制订并于开学前上传至江苏教师教育管理系统，实施过程中如有变化可在年终导入学时时重新上传计划。3、培训计划在江苏教师教育管理系统中审核通过后请同步上传至学校校园网相关专栏，每项培训具体实施时请将具体培训安排表上传至校园网相关专栏。</w:t>
      </w:r>
    </w:p>
    <w:bookmarkEnd w:id="0"/>
    <w:p>
      <w:pPr>
        <w:ind w:firstLine="480" w:firstLineChars="200"/>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STZhongsong">
    <w:altName w:val="宋体"/>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B7"/>
    <w:rsid w:val="0022190C"/>
    <w:rsid w:val="00346F96"/>
    <w:rsid w:val="007F7EB7"/>
    <w:rsid w:val="00B92A2F"/>
    <w:rsid w:val="00CE66B0"/>
    <w:rsid w:val="00EA1FC9"/>
    <w:rsid w:val="04D428B5"/>
    <w:rsid w:val="17D62C2F"/>
    <w:rsid w:val="3184344A"/>
    <w:rsid w:val="31F94B17"/>
    <w:rsid w:val="39EE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185</Words>
  <Characters>1061</Characters>
  <Lines>8</Lines>
  <Paragraphs>2</Paragraphs>
  <TotalTime>3</TotalTime>
  <ScaleCrop>false</ScaleCrop>
  <LinksUpToDate>false</LinksUpToDate>
  <CharactersWithSpaces>1244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2021-03-08T11:32:00Z</dcterms:created>
  <dc:creator>yang yu</dc:creator>
  <cp:lastModifiedBy>悠悠鱼</cp:lastModifiedBy>
  <dcterms:modified xsi:type="dcterms:W3CDTF">2022-02-18T04:16:55Z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09F9EBCC82F544719A4A72EFDD45FBFB</vt:lpwstr>
  </property>
</Properties>
</file>