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748" w:firstLineChars="544"/>
        <w:rPr>
          <w:rFonts w:hint="eastAsia" w:ascii="ˎ̥" w:hAnsi="ˎ̥"/>
          <w:b/>
          <w:sz w:val="32"/>
          <w:szCs w:val="32"/>
        </w:rPr>
      </w:pPr>
      <w:r>
        <w:rPr>
          <w:rFonts w:hint="eastAsia" w:ascii="ˎ̥" w:hAnsi="ˎ̥"/>
          <w:b/>
          <w:sz w:val="32"/>
          <w:szCs w:val="32"/>
        </w:rPr>
        <w:t>前黄中心小学教师读书交流记录表</w:t>
      </w:r>
    </w:p>
    <w:p>
      <w:pPr>
        <w:spacing w:line="440" w:lineRule="exact"/>
        <w:ind w:firstLine="1269" w:firstLineChars="395"/>
        <w:rPr>
          <w:rFonts w:hint="eastAsia" w:ascii="ˎ̥" w:hAnsi="ˎ̥"/>
          <w:b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800"/>
        <w:gridCol w:w="1620"/>
        <w:gridCol w:w="1440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ˎ̥" w:hAnsi="ˎ̥"/>
                <w:b/>
                <w:sz w:val="28"/>
                <w:szCs w:val="28"/>
              </w:rPr>
            </w:pPr>
            <w:r>
              <w:rPr>
                <w:rFonts w:hint="eastAsia" w:ascii="ˎ̥" w:hAnsi="ˎ̥"/>
                <w:b/>
                <w:sz w:val="28"/>
                <w:szCs w:val="28"/>
              </w:rPr>
              <w:t>学习者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40" w:lineRule="exact"/>
              <w:rPr>
                <w:rFonts w:hint="default" w:ascii="ˎ̥" w:hAnsi="ˎ̥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ˎ̥" w:hAnsi="ˎ̥"/>
                <w:b/>
                <w:sz w:val="28"/>
                <w:szCs w:val="28"/>
                <w:lang w:val="en-US" w:eastAsia="zh-CN"/>
              </w:rPr>
              <w:t>杨艳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ˎ̥" w:hAnsi="ˎ̥"/>
                <w:b/>
                <w:szCs w:val="21"/>
              </w:rPr>
            </w:pPr>
            <w:r>
              <w:rPr>
                <w:rFonts w:hint="eastAsia" w:ascii="ˎ̥" w:hAnsi="ˎ̥"/>
                <w:b/>
                <w:szCs w:val="21"/>
              </w:rPr>
              <w:t>任教年级、学科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40" w:lineRule="exact"/>
              <w:ind w:left="241" w:hanging="241" w:hangingChars="100"/>
              <w:rPr>
                <w:rFonts w:hint="default" w:ascii="ˎ̥" w:hAnsi="ˎ̥" w:eastAsia="宋体"/>
                <w:b/>
                <w:sz w:val="24"/>
                <w:lang w:val="en-US" w:eastAsia="zh-CN"/>
              </w:rPr>
            </w:pPr>
            <w:r>
              <w:rPr>
                <w:rFonts w:hint="eastAsia" w:ascii="ˎ̥" w:hAnsi="ˎ̥"/>
                <w:b/>
                <w:sz w:val="24"/>
                <w:lang w:val="en-US" w:eastAsia="zh-CN"/>
              </w:rPr>
              <w:t>体育</w:t>
            </w:r>
            <w:bookmarkStart w:id="0" w:name="_GoBack"/>
            <w:bookmarkEnd w:id="0"/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ˎ̥" w:hAnsi="ˎ̥"/>
                <w:b/>
                <w:sz w:val="28"/>
                <w:szCs w:val="28"/>
              </w:rPr>
            </w:pPr>
            <w:r>
              <w:rPr>
                <w:rFonts w:hint="eastAsia" w:ascii="ˎ̥" w:hAnsi="ˎ̥"/>
                <w:b/>
                <w:sz w:val="28"/>
                <w:szCs w:val="28"/>
              </w:rPr>
              <w:t>学习时间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440" w:lineRule="exact"/>
              <w:rPr>
                <w:rFonts w:hint="default" w:ascii="ˎ̥" w:hAnsi="ˎ̥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ˎ̥" w:hAnsi="ˎ̥"/>
                <w:b/>
                <w:sz w:val="28"/>
                <w:szCs w:val="28"/>
              </w:rPr>
              <w:t>202</w:t>
            </w:r>
            <w:r>
              <w:rPr>
                <w:rFonts w:hint="eastAsia" w:ascii="ˎ̥" w:hAnsi="ˎ̥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ˎ̥" w:hAnsi="ˎ̥"/>
                <w:b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ˎ̥" w:hAnsi="ˎ̥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ˎ̥" w:hAnsi="ˎ̥"/>
                <w:b/>
                <w:sz w:val="28"/>
                <w:szCs w:val="28"/>
              </w:rPr>
            </w:pPr>
            <w:r>
              <w:rPr>
                <w:rFonts w:hint="eastAsia" w:ascii="ˎ̥" w:hAnsi="ˎ̥"/>
                <w:b/>
                <w:sz w:val="28"/>
                <w:szCs w:val="28"/>
              </w:rPr>
              <w:t>学习书籍</w:t>
            </w:r>
          </w:p>
        </w:tc>
        <w:tc>
          <w:tcPr>
            <w:tcW w:w="620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ˎ̥" w:hAnsi="ˎ̥"/>
                <w:b/>
                <w:sz w:val="28"/>
                <w:szCs w:val="28"/>
              </w:rPr>
            </w:pPr>
            <w:r>
              <w:rPr>
                <w:rFonts w:hint="eastAsia" w:ascii="ˎ̥" w:hAnsi="ˎ̥"/>
                <w:b/>
                <w:sz w:val="28"/>
                <w:szCs w:val="28"/>
              </w:rPr>
              <w:t>《课程透视》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3" w:hRule="atLeast"/>
        </w:trPr>
        <w:tc>
          <w:tcPr>
            <w:tcW w:w="8472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ˎ̥" w:hAnsi="ˎ̥"/>
                <w:b/>
                <w:sz w:val="28"/>
                <w:szCs w:val="28"/>
              </w:rPr>
            </w:pPr>
            <w:r>
              <w:rPr>
                <w:rFonts w:hint="eastAsia" w:ascii="ˎ̥" w:hAnsi="ˎ̥"/>
                <w:b/>
                <w:sz w:val="28"/>
                <w:szCs w:val="28"/>
              </w:rPr>
              <w:t>内容摘要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课改的重点是培养孩子的创新精神和实践能力，归根究底就是关注人的发展。关于学生的发展，近期提的最多的莫过于“核心素养”，传统的课程设置重知识、轻实践，如何能通过课程设置来改变这种情况，进而培养孩子的“核心素养”呢？陶行知的大课程观给了我们方向。成尚荣指出，陶行知的大教育观表现在三个“打破”：打破学校与社会的阻隔，提倡生活即教育，社会即学校，使学校向社会开放，构建大的教育系统；打破个体教育时限的阻隔，提倡终身教育；打破知识教育与实践教育的阻隔，提倡教学做合一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6" w:hRule="atLeast"/>
        </w:trPr>
        <w:tc>
          <w:tcPr>
            <w:tcW w:w="8472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ˎ̥" w:hAnsi="ˎ̥"/>
                <w:b/>
                <w:sz w:val="28"/>
                <w:szCs w:val="28"/>
              </w:rPr>
            </w:pPr>
            <w:r>
              <w:rPr>
                <w:rFonts w:hint="eastAsia" w:ascii="ˎ̥" w:hAnsi="ˎ̥"/>
                <w:b/>
                <w:sz w:val="28"/>
                <w:szCs w:val="28"/>
              </w:rPr>
              <w:t xml:space="preserve">                         读书心得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社会、自然、生活，都可以是我们的课程资源，我们要善于发掘身边的教学资源。只有我们的活动是面向学生生活实际的，才能引起学生的共鸣，学生才有感性的认知。“生活教育理论”是陶行知先生教育思想的主线和重要基石，它的精神内涵十分明确，即大众教育。他认为脱离生活，脱离劳动的传统教育，会扼杀儿童的身心发展，其结果培养的是一群无用的没有创新精神和胆略的“书呆子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5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2022-01-16T23:42:02Z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