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748" w:firstLineChars="544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hint="eastAsia" w:ascii="ˎ̥" w:hAnsi="ˎ̥"/>
          <w:b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800"/>
        <w:gridCol w:w="1416"/>
        <w:gridCol w:w="139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杨艳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ind w:left="241" w:hanging="241" w:hangingChars="100"/>
              <w:rPr>
                <w:rFonts w:hint="eastAsia" w:ascii="ˎ̥" w:hAnsi="ˎ̥" w:eastAsia="宋体"/>
                <w:b/>
                <w:sz w:val="24"/>
                <w:lang w:val="en-US" w:eastAsia="zh-CN"/>
              </w:rPr>
            </w:pPr>
            <w:r>
              <w:rPr>
                <w:rFonts w:hint="eastAsia" w:ascii="ˎ̥" w:hAnsi="ˎ̥"/>
                <w:b/>
                <w:sz w:val="24"/>
                <w:lang w:val="en-US" w:eastAsia="zh-CN"/>
              </w:rPr>
              <w:t>体育</w:t>
            </w:r>
            <w:bookmarkStart w:id="0" w:name="_GoBack"/>
            <w:bookmarkEnd w:id="0"/>
          </w:p>
        </w:tc>
        <w:tc>
          <w:tcPr>
            <w:tcW w:w="139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440" w:lineRule="exact"/>
              <w:rPr>
                <w:rFonts w:hint="default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2021</w:t>
            </w: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《课程透视》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内容摘要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课程观给了我们方向。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 xml:space="preserve">                         读书心得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这三个“打破”，与综合实践活动课程不谋而合。《中小学综合实践活动课程指导纲要》中指出，活动内容的选择要面向学生的真实生活，要跨学科综合学习。社会、自然、生活，都可以是我们的课程资源，我们要善于发掘身边的教学资源。只有我们的活动是面向学生生活实际的，才能引起学生的共鸣，学生才有感性的认知。“生活教育理论”是陶行知先生教育思想的主线和重要基石，它的精神内涵十分明确，即大众教育。他认为脱离生活，脱离劳动的传统教育，会扼杀儿童的身心发展，其结果培养的是一群无用的没有创新精神和胆略的“书呆子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2021-12-29T23:54:38Z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