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35" w:lineRule="atLeast"/>
        <w:ind w:firstLine="1"/>
        <w:jc w:val="center"/>
        <w:rPr>
          <w:rFonts w:ascii="宋体" w:hAnsi="宋体" w:eastAsia="宋体" w:cs="宋体"/>
          <w:kern w:val="0"/>
          <w:sz w:val="24"/>
          <w:szCs w:val="24"/>
        </w:rPr>
      </w:pPr>
      <w:r>
        <w:rPr>
          <w:rFonts w:hint="eastAsia" w:ascii="宋体" w:hAnsi="宋体" w:eastAsia="宋体" w:cs="宋体"/>
          <w:b/>
          <w:bCs/>
          <w:kern w:val="0"/>
          <w:sz w:val="32"/>
          <w:szCs w:val="32"/>
        </w:rPr>
        <w:t>前黄中心小学教师读书交流记录表</w:t>
      </w:r>
    </w:p>
    <w:tbl>
      <w:tblPr>
        <w:tblStyle w:val="5"/>
        <w:tblW w:w="9962" w:type="dxa"/>
        <w:tblCellSpacing w:w="0" w:type="dxa"/>
        <w:tblInd w:w="0" w:type="dxa"/>
        <w:tblLayout w:type="autofit"/>
        <w:tblCellMar>
          <w:top w:w="0" w:type="dxa"/>
          <w:left w:w="0" w:type="dxa"/>
          <w:bottom w:w="0" w:type="dxa"/>
          <w:right w:w="0" w:type="dxa"/>
        </w:tblCellMar>
      </w:tblPr>
      <w:tblGrid>
        <w:gridCol w:w="1392"/>
        <w:gridCol w:w="1270"/>
        <w:gridCol w:w="2327"/>
        <w:gridCol w:w="1692"/>
        <w:gridCol w:w="1692"/>
        <w:gridCol w:w="1589"/>
      </w:tblGrid>
      <w:tr>
        <w:tblPrEx>
          <w:tblCellMar>
            <w:top w:w="0" w:type="dxa"/>
            <w:left w:w="0" w:type="dxa"/>
            <w:bottom w:w="0" w:type="dxa"/>
            <w:right w:w="0" w:type="dxa"/>
          </w:tblCellMar>
        </w:tblPrEx>
        <w:trPr>
          <w:trHeight w:val="644" w:hRule="atLeast"/>
          <w:tblCellSpacing w:w="0" w:type="dxa"/>
        </w:trPr>
        <w:tc>
          <w:tcPr>
            <w:tcW w:w="13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line="435" w:lineRule="atLeast"/>
              <w:jc w:val="left"/>
              <w:rPr>
                <w:rFonts w:ascii="宋体" w:hAnsi="宋体" w:eastAsia="宋体" w:cs="宋体"/>
                <w:kern w:val="0"/>
                <w:sz w:val="24"/>
                <w:szCs w:val="24"/>
              </w:rPr>
            </w:pPr>
            <w:r>
              <w:rPr>
                <w:rFonts w:ascii="Times New Roman" w:hAnsi="Times New Roman" w:eastAsia="宋体" w:cs="Times New Roman"/>
                <w:b/>
                <w:bCs/>
                <w:kern w:val="0"/>
                <w:sz w:val="32"/>
                <w:szCs w:val="32"/>
              </w:rPr>
              <w:t> </w:t>
            </w:r>
            <w:r>
              <w:rPr>
                <w:rFonts w:hint="eastAsia" w:ascii="宋体" w:hAnsi="宋体" w:eastAsia="宋体" w:cs="宋体"/>
                <w:b/>
                <w:bCs/>
                <w:kern w:val="0"/>
                <w:sz w:val="29"/>
                <w:szCs w:val="29"/>
              </w:rPr>
              <w:t>学习者</w:t>
            </w:r>
          </w:p>
        </w:tc>
        <w:tc>
          <w:tcPr>
            <w:tcW w:w="126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line="435" w:lineRule="atLeast"/>
              <w:jc w:val="left"/>
              <w:rPr>
                <w:rFonts w:ascii="宋体" w:hAnsi="宋体" w:eastAsia="宋体" w:cs="宋体"/>
                <w:kern w:val="0"/>
                <w:sz w:val="24"/>
                <w:szCs w:val="24"/>
              </w:rPr>
            </w:pPr>
            <w:r>
              <w:rPr>
                <w:rFonts w:hint="eastAsia" w:ascii="宋体" w:hAnsi="宋体" w:eastAsia="宋体" w:cs="宋体"/>
                <w:b/>
                <w:bCs/>
                <w:kern w:val="0"/>
                <w:sz w:val="29"/>
                <w:szCs w:val="29"/>
              </w:rPr>
              <w:t>曹东明</w:t>
            </w:r>
          </w:p>
        </w:tc>
        <w:tc>
          <w:tcPr>
            <w:tcW w:w="232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line="435" w:lineRule="atLeast"/>
              <w:ind w:firstLine="210"/>
              <w:jc w:val="left"/>
              <w:rPr>
                <w:rFonts w:ascii="宋体" w:hAnsi="宋体" w:eastAsia="宋体" w:cs="宋体"/>
                <w:kern w:val="0"/>
                <w:sz w:val="24"/>
                <w:szCs w:val="24"/>
              </w:rPr>
            </w:pPr>
            <w:r>
              <w:rPr>
                <w:rFonts w:hint="eastAsia" w:ascii="宋体" w:hAnsi="宋体" w:eastAsia="宋体" w:cs="宋体"/>
                <w:b/>
                <w:bCs/>
                <w:kern w:val="0"/>
                <w:sz w:val="24"/>
                <w:szCs w:val="24"/>
              </w:rPr>
              <w:t>任教年级、学科</w:t>
            </w:r>
          </w:p>
        </w:tc>
        <w:tc>
          <w:tcPr>
            <w:tcW w:w="169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line="435" w:lineRule="atLeast"/>
              <w:jc w:val="center"/>
              <w:rPr>
                <w:rFonts w:ascii="宋体" w:hAnsi="宋体" w:eastAsia="宋体" w:cs="宋体"/>
                <w:b/>
                <w:kern w:val="0"/>
                <w:sz w:val="24"/>
                <w:szCs w:val="24"/>
              </w:rPr>
            </w:pPr>
            <w:r>
              <w:rPr>
                <w:rFonts w:hint="eastAsia" w:ascii="宋体" w:hAnsi="宋体" w:eastAsia="宋体" w:cs="宋体"/>
                <w:b/>
                <w:kern w:val="0"/>
                <w:sz w:val="24"/>
                <w:szCs w:val="24"/>
              </w:rPr>
              <w:t>六数</w:t>
            </w:r>
          </w:p>
        </w:tc>
        <w:tc>
          <w:tcPr>
            <w:tcW w:w="169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line="435" w:lineRule="atLeast"/>
              <w:jc w:val="left"/>
              <w:rPr>
                <w:rFonts w:ascii="宋体" w:hAnsi="宋体" w:eastAsia="宋体" w:cs="宋体"/>
                <w:kern w:val="0"/>
                <w:sz w:val="24"/>
                <w:szCs w:val="24"/>
              </w:rPr>
            </w:pPr>
            <w:r>
              <w:rPr>
                <w:rFonts w:hint="eastAsia" w:ascii="宋体" w:hAnsi="宋体" w:eastAsia="宋体" w:cs="宋体"/>
                <w:b/>
                <w:bCs/>
                <w:kern w:val="0"/>
                <w:sz w:val="29"/>
                <w:szCs w:val="29"/>
              </w:rPr>
              <w:t>学习时间</w:t>
            </w:r>
          </w:p>
        </w:tc>
        <w:tc>
          <w:tcPr>
            <w:tcW w:w="158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line="435" w:lineRule="atLeast"/>
              <w:jc w:val="left"/>
              <w:rPr>
                <w:rFonts w:hint="eastAsia" w:ascii="宋体" w:hAnsi="宋体" w:eastAsia="宋体" w:cs="宋体"/>
                <w:kern w:val="0"/>
                <w:sz w:val="24"/>
                <w:szCs w:val="24"/>
                <w:lang w:eastAsia="zh-CN"/>
              </w:rPr>
            </w:pPr>
            <w:r>
              <w:rPr>
                <w:rFonts w:ascii="Times New Roman" w:hAnsi="Times New Roman" w:eastAsia="宋体" w:cs="Times New Roman"/>
                <w:b/>
                <w:bCs/>
                <w:kern w:val="0"/>
                <w:sz w:val="29"/>
                <w:szCs w:val="29"/>
              </w:rPr>
              <w:t>20</w:t>
            </w:r>
            <w:r>
              <w:rPr>
                <w:rFonts w:hint="eastAsia" w:ascii="Times New Roman" w:hAnsi="Times New Roman" w:eastAsia="宋体" w:cs="Times New Roman"/>
                <w:b/>
                <w:bCs/>
                <w:kern w:val="0"/>
                <w:sz w:val="29"/>
                <w:szCs w:val="29"/>
                <w:lang w:val="en-US" w:eastAsia="zh-CN"/>
              </w:rPr>
              <w:t>21</w:t>
            </w:r>
            <w:r>
              <w:rPr>
                <w:rFonts w:ascii="Times New Roman" w:hAnsi="Times New Roman" w:eastAsia="宋体" w:cs="Times New Roman"/>
                <w:b/>
                <w:bCs/>
                <w:kern w:val="0"/>
                <w:sz w:val="29"/>
                <w:szCs w:val="29"/>
              </w:rPr>
              <w:t>.</w:t>
            </w:r>
            <w:r>
              <w:rPr>
                <w:rFonts w:hint="eastAsia" w:ascii="Times New Roman" w:hAnsi="Times New Roman" w:eastAsia="宋体" w:cs="Times New Roman"/>
                <w:b/>
                <w:bCs/>
                <w:kern w:val="0"/>
                <w:sz w:val="29"/>
                <w:szCs w:val="29"/>
                <w:lang w:val="en-US" w:eastAsia="zh-CN"/>
              </w:rPr>
              <w:t>5</w:t>
            </w:r>
          </w:p>
        </w:tc>
      </w:tr>
      <w:tr>
        <w:tblPrEx>
          <w:tblCellMar>
            <w:top w:w="0" w:type="dxa"/>
            <w:left w:w="0" w:type="dxa"/>
            <w:bottom w:w="0" w:type="dxa"/>
            <w:right w:w="0" w:type="dxa"/>
          </w:tblCellMar>
        </w:tblPrEx>
        <w:trPr>
          <w:trHeight w:val="644" w:hRule="atLeast"/>
          <w:tblCellSpacing w:w="0" w:type="dxa"/>
        </w:trPr>
        <w:tc>
          <w:tcPr>
            <w:tcW w:w="2662"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line="435" w:lineRule="atLeast"/>
              <w:jc w:val="left"/>
              <w:rPr>
                <w:rFonts w:ascii="宋体" w:hAnsi="宋体" w:eastAsia="宋体" w:cs="宋体"/>
                <w:kern w:val="0"/>
                <w:sz w:val="24"/>
                <w:szCs w:val="24"/>
              </w:rPr>
            </w:pPr>
            <w:r>
              <w:rPr>
                <w:rFonts w:hint="eastAsia" w:ascii="宋体" w:hAnsi="宋体" w:eastAsia="宋体" w:cs="宋体"/>
                <w:b/>
                <w:bCs/>
                <w:kern w:val="0"/>
                <w:sz w:val="29"/>
                <w:szCs w:val="29"/>
              </w:rPr>
              <w:t>学习书籍</w:t>
            </w:r>
          </w:p>
        </w:tc>
        <w:tc>
          <w:tcPr>
            <w:tcW w:w="7299" w:type="dxa"/>
            <w:gridSpan w:val="4"/>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line="435" w:lineRule="atLeast"/>
              <w:jc w:val="center"/>
              <w:rPr>
                <w:rFonts w:hint="eastAsia" w:ascii="宋体" w:hAnsi="宋体" w:eastAsia="宋体" w:cs="宋体"/>
                <w:kern w:val="0"/>
                <w:sz w:val="24"/>
                <w:szCs w:val="24"/>
                <w:lang w:eastAsia="zh-CN"/>
              </w:rPr>
            </w:pPr>
            <w:r>
              <w:rPr>
                <w:rFonts w:hint="eastAsia" w:ascii="宋体" w:hAnsi="宋体" w:eastAsia="宋体" w:cs="宋体"/>
                <w:b/>
                <w:bCs/>
                <w:kern w:val="0"/>
                <w:sz w:val="29"/>
                <w:szCs w:val="29"/>
                <w:lang w:eastAsia="zh-CN"/>
              </w:rPr>
              <w:t>课程透视</w:t>
            </w:r>
          </w:p>
        </w:tc>
      </w:tr>
      <w:tr>
        <w:tblPrEx>
          <w:tblCellMar>
            <w:top w:w="0" w:type="dxa"/>
            <w:left w:w="0" w:type="dxa"/>
            <w:bottom w:w="0" w:type="dxa"/>
            <w:right w:w="0" w:type="dxa"/>
          </w:tblCellMar>
        </w:tblPrEx>
        <w:trPr>
          <w:trHeight w:val="5740" w:hRule="atLeast"/>
          <w:tblCellSpacing w:w="0" w:type="dxa"/>
        </w:trPr>
        <w:tc>
          <w:tcPr>
            <w:tcW w:w="9962" w:type="dxa"/>
            <w:gridSpan w:val="6"/>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spacing w:before="100" w:beforeAutospacing="1" w:after="100" w:afterAutospacing="1" w:line="435" w:lineRule="atLeast"/>
              <w:rPr>
                <w:rFonts w:hint="eastAsia" w:ascii="宋体" w:hAnsi="宋体" w:eastAsia="宋体" w:cs="宋体"/>
                <w:b/>
                <w:bCs/>
                <w:kern w:val="0"/>
                <w:sz w:val="29"/>
                <w:szCs w:val="29"/>
              </w:rPr>
            </w:pPr>
            <w:r>
              <w:rPr>
                <w:rFonts w:hint="eastAsia" w:ascii="宋体" w:hAnsi="宋体" w:eastAsia="宋体" w:cs="宋体"/>
                <w:b/>
                <w:bCs/>
                <w:kern w:val="0"/>
                <w:sz w:val="29"/>
                <w:szCs w:val="29"/>
              </w:rPr>
              <w:t>内容摘要</w:t>
            </w:r>
          </w:p>
          <w:p>
            <w:pPr>
              <w:widowControl/>
              <w:spacing w:before="100" w:beforeAutospacing="1" w:after="100" w:afterAutospacing="1" w:line="435" w:lineRule="atLeast"/>
              <w:ind w:firstLine="720" w:firstLineChars="300"/>
              <w:rPr>
                <w:rFonts w:ascii="宋体" w:hAnsi="宋体" w:eastAsia="宋体" w:cs="宋体"/>
                <w:kern w:val="0"/>
                <w:sz w:val="24"/>
                <w:szCs w:val="24"/>
              </w:rPr>
            </w:pPr>
            <w:r>
              <w:rPr>
                <w:rFonts w:hint="eastAsia" w:ascii="Arial" w:hAnsi="Arial" w:eastAsia="Arial" w:cs="Arial"/>
                <w:i w:val="0"/>
                <w:caps w:val="0"/>
                <w:color w:val="191919"/>
                <w:spacing w:val="0"/>
                <w:sz w:val="24"/>
                <w:szCs w:val="24"/>
                <w:shd w:val="clear" w:fill="FFFFFF"/>
              </w:rPr>
              <w:t>读成尚荣先生的系列丛书，字里行间不仅发现成尚荣先生是个有高度有深度的教育家，也是个善于思考的哲学家或我们常说的智者。他在《课程透视》中引用了黑格尔在《精神现象学》中的一句名言：熟知非真知。他向我们揭示了，“熟知”和“真知”是有区别的，熟知的，其实并不一定是真正知道的。我们不能止于熟知，更要从熟知走向真知。读到这个说法，我觉得很新鲜，但读完觉得非常受教！原来自己的认知很多时候也有类似偏差，认为自己这个事情知道了，那个道理明白了，但却只停留在表面的知道和明白，其实并没有真正的“进去”。就像成先生举的例子：对于监狱这个概念，大家都很熟悉，但是谈不上真知，除非你“进去”过了，才真正的知道什么叫监狱！又比如，我们教的一个班的孩子，教了一年或者几年，每天给他们上课，批改作业，一直在打交道，感觉应该是很熟悉了！可是，突然有个瞬间，我们会觉得这个孩子做的一件事或表达出的某个想法让我们感觉其有些陌生，不禁萌生出：“我真的了解他们了吗？”的想法。因此，成尚荣先生也说：“儿童是我们熟悉的陌生者”。不从熟知走向真知，我们就不可能让儿童真正学习，促使他们健康发展。</w:t>
            </w:r>
          </w:p>
        </w:tc>
      </w:tr>
      <w:tr>
        <w:tblPrEx>
          <w:tblCellMar>
            <w:top w:w="0" w:type="dxa"/>
            <w:left w:w="0" w:type="dxa"/>
            <w:bottom w:w="0" w:type="dxa"/>
            <w:right w:w="0" w:type="dxa"/>
          </w:tblCellMar>
        </w:tblPrEx>
        <w:trPr>
          <w:trHeight w:val="5433" w:hRule="atLeast"/>
          <w:tblCellSpacing w:w="0" w:type="dxa"/>
        </w:trPr>
        <w:tc>
          <w:tcPr>
            <w:tcW w:w="9962" w:type="dxa"/>
            <w:gridSpan w:val="6"/>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spacing w:before="100" w:beforeAutospacing="1" w:after="100" w:afterAutospacing="1" w:line="435" w:lineRule="atLeast"/>
              <w:rPr>
                <w:rFonts w:ascii="宋体" w:hAnsi="宋体" w:eastAsia="宋体" w:cs="宋体"/>
                <w:b/>
                <w:bCs/>
                <w:kern w:val="0"/>
                <w:sz w:val="29"/>
                <w:szCs w:val="29"/>
              </w:rPr>
            </w:pPr>
            <w:r>
              <w:rPr>
                <w:rFonts w:hint="eastAsia" w:ascii="宋体" w:hAnsi="宋体" w:eastAsia="宋体" w:cs="宋体"/>
                <w:b/>
                <w:bCs/>
                <w:kern w:val="0"/>
                <w:sz w:val="29"/>
                <w:szCs w:val="29"/>
              </w:rPr>
              <w:t>读书心得</w:t>
            </w:r>
          </w:p>
          <w:p>
            <w:pPr>
              <w:widowControl/>
              <w:spacing w:before="100" w:beforeAutospacing="1" w:after="100" w:afterAutospacing="1" w:line="4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苏格拉底曾说过：我的智慧在于我知道自己的无知。感谢成尚荣先生，让我明白了我对于“真知”这个概念的无知。那么，想要促使自己从陌生走向熟知，从熟知走向真知，应该怎么做？吉林的一位普通的语文老师王永明给了我们很好的示范。王永明老师是个典型的草根老师，他在课改中迸发出可贵的激情，潜心研究，深入实践，还探索建构了“开放式语文”。他从熟知到真知的路径非常明晰，那就是“对话”！对话，敞开心灵，思维碰撞，在挑战中批判，在批判中创新。王老师与实践对话，因为实践才能出真知，就像陶行知先生的课程观“教学做合一”，学了就要做，不做就只是熟知，出不了真知！王老师与儿童对话，他深入的去认识儿童、了解儿童，使他的教育实践基于儿童。他在日记中这样写道：“面向全体学生，是课改提倡的理念，是常挂在嘴边的一句话，我们都知道，可是真的都做到了吗？学生的想法和愿望我们是知道的，但是只有换了另一个角度去看，另一种方式去想的时候，我们才算真正知道了这一点！”是的，与实践对话，与儿童对话，是我们的教学从熟知到真知的过程中必不可少的！让我们的课改循着熟知非真知的思路走下去，让我们在熟知非真知的催动下不断成长！</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CF4"/>
    <w:rsid w:val="00030F3A"/>
    <w:rsid w:val="000A2181"/>
    <w:rsid w:val="000D2CF4"/>
    <w:rsid w:val="00270043"/>
    <w:rsid w:val="002E2677"/>
    <w:rsid w:val="003F53A2"/>
    <w:rsid w:val="00561FB1"/>
    <w:rsid w:val="00885DCC"/>
    <w:rsid w:val="00931226"/>
    <w:rsid w:val="00A979FF"/>
    <w:rsid w:val="3CA62F4D"/>
    <w:rsid w:val="64931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128</Words>
  <Characters>732</Characters>
  <Lines>6</Lines>
  <Paragraphs>1</Paragraphs>
  <TotalTime>7</TotalTime>
  <ScaleCrop>false</ScaleCrop>
  <LinksUpToDate>false</LinksUpToDate>
  <CharactersWithSpaces>859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2017-12-29T06:42:00Z</dcterms:created>
  <dc:creator>Microsoft</dc:creator>
  <cp:lastModifiedBy>%E4%B8%9C%E6%96%B9%E6%98%8E%E7%8F%A0</cp:lastModifiedBy>
  <dcterms:modified xsi:type="dcterms:W3CDTF">2021-05-16T22:29:42Z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