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150" w:beforeAutospacing="0" w:after="150" w:afterAutospacing="0" w:line="390" w:lineRule="atLeast"/>
        <w:ind w:left="150" w:right="15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15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1"/>
          <w:szCs w:val="31"/>
          <w:shd w:val="clear" w:color="auto" w:fill="FFFFFF"/>
        </w:rPr>
        <w:t>前黄中心小学教师读书交流记录表</w:t>
      </w:r>
    </w:p>
    <w:tbl>
      <w:tblPr>
        <w:tblStyle w:val="3"/>
        <w:tblW w:w="847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056"/>
        <w:gridCol w:w="1739"/>
        <w:gridCol w:w="1686"/>
        <w:gridCol w:w="1382"/>
        <w:gridCol w:w="146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150" w:right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学习者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杨学华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150" w:right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任教年级、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150" w:right="0" w:firstLine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学科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15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lang w:val="en-US" w:eastAsia="zh-CN"/>
              </w:rPr>
              <w:t>一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年级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150" w:right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学习时间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0" w:right="0"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2021.10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0" w:right="0"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学习书籍</w:t>
            </w:r>
          </w:p>
        </w:tc>
        <w:tc>
          <w:tcPr>
            <w:tcW w:w="6225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35" w:lineRule="atLeast"/>
              <w:ind w:left="0" w:right="0"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《课程透视》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5" w:hRule="atLeast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150" w:right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8"/>
                <w:szCs w:val="28"/>
              </w:rPr>
              <w:t>内容摘要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莎莉老师最开始时的断言（“你和吉尔总是惹麻烦”），就把吉尔和蒂姆投入到了这样一个刺眼的处境：暗示他们会捣乱。莎莉老师以这种微妙方式来处理不良行为，实际上是在制造更多的不良行为。这一段文字让我想到了自己在课堂中也出现过这样的行为，对于学生的不良行为直接进行简单直白的批评和指出，在这种情况下，会让学生认为：老师都认为我是会捣乱的人，那我做出一些捣乱的行为，似乎也没什么不对，周而复始，导致学生不良行为更加加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5" w:hRule="atLeast"/>
        </w:trPr>
        <w:tc>
          <w:tcPr>
            <w:tcW w:w="8475" w:type="dxa"/>
            <w:gridSpan w:val="6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 w:firstLine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在这样的课堂上教师关注的是不同层次学生的进步与发展，更加呵护他们的学习情感，使全体学生都能享有同等的受教育的权利，同时教师本身也更加注重不断提高自身修养，更加注重自己的教育影响，要实现“坚持以人为本”构建和谐课堂的教育理念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 w:firstLine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要优化育人环境，重视课堂文化建设，释放学生思维的活力，放飞他们的广阔梦想。课堂是学生自我发展和实现的主要精神阵地，课堂教学中的学生是成长的生命，发展的主体，唯有和谐有效的教学活动才能够“唤醒沉睡的潜能，激活封存的记忆，开启幽闭的心智，放飞囚禁的情愫”才能为个人自主、全面、和谐发展提供平台。这就要求我们必须做到“三转变”：教师角色的转变，教师教学方式的转变，学生学习方式的转变。要求我们教师要征集课堂教学中的困惑和问题，把解决课堂教学的真实问题作为立足点，把促进教师理论与实践的结合，作为着眼点，把教学方式与学习方式的转变作为切入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 w:firstLine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 w:firstLine="48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141DD"/>
    <w:rsid w:val="6F3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2021-10-28T12:12:00Z</dcterms:created>
  <dc:creator>10300</dc:creator>
  <cp:lastModifiedBy>10300</cp:lastModifiedBy>
  <dcterms:modified xsi:type="dcterms:W3CDTF">2021-10-28T12:17:27Z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FCFA78F9782F4682A84ACDF16B6C995C</vt:lpwstr>
  </property>
</Properties>
</file>