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val="0"/>
          <w:sz w:val="32"/>
          <w:szCs w:val="32"/>
        </w:rPr>
      </w:pPr>
      <w:r>
        <w:rPr>
          <w:rFonts w:hint="eastAsia"/>
          <w:b w:val="0"/>
          <w:bCs w:val="0"/>
          <w:sz w:val="32"/>
          <w:szCs w:val="32"/>
        </w:rPr>
        <w:t>前黄中心小学教师读书交流记录表</w:t>
      </w:r>
    </w:p>
    <w:p>
      <w:r>
        <w:rPr>
          <w:rFonts w:hint="eastAsia"/>
          <w:b/>
          <w:bCs/>
        </w:rPr>
        <w:t> </w:t>
      </w:r>
    </w:p>
    <w:tbl>
      <w:tblPr>
        <w:tblStyle w:val="2"/>
        <w:tblW w:w="8475" w:type="dxa"/>
        <w:tblInd w:w="0" w:type="dxa"/>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shd w:val="clear" w:color="auto" w:fill="FFFFFF"/>
          <w:tblLayout w:type="fixed"/>
          <w:tblCellMar>
            <w:top w:w="15" w:type="dxa"/>
            <w:left w:w="15" w:type="dxa"/>
            <w:bottom w:w="15" w:type="dxa"/>
            <w:right w:w="15" w:type="dxa"/>
          </w:tblCellMar>
        </w:tblPrEx>
        <w:trPr>
          <w:trHeight w:val="630" w:hRule="atLeast"/>
        </w:trPr>
        <w:tc>
          <w:tcPr>
            <w:tcW w:w="11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spacing w:line="360" w:lineRule="auto"/>
              <w:rPr>
                <w:rFonts w:hint="eastAsia" w:ascii="宋体" w:hAnsi="宋体" w:eastAsia="宋体" w:cs="宋体"/>
                <w:sz w:val="24"/>
                <w:szCs w:val="24"/>
              </w:rPr>
            </w:pPr>
            <w:r>
              <w:rPr>
                <w:rFonts w:hint="eastAsia" w:ascii="宋体" w:hAnsi="宋体" w:eastAsia="宋体" w:cs="宋体"/>
                <w:b/>
                <w:bCs/>
                <w:sz w:val="24"/>
                <w:szCs w:val="24"/>
              </w:rPr>
              <w:t>学习者</w:t>
            </w:r>
          </w:p>
        </w:tc>
        <w:tc>
          <w:tcPr>
            <w:tcW w:w="10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赵振红</w:t>
            </w:r>
          </w:p>
        </w:tc>
        <w:tc>
          <w:tcPr>
            <w:tcW w:w="19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spacing w:line="360" w:lineRule="auto"/>
              <w:rPr>
                <w:rFonts w:hint="eastAsia" w:ascii="宋体" w:hAnsi="宋体" w:eastAsia="宋体" w:cs="宋体"/>
                <w:sz w:val="24"/>
                <w:szCs w:val="24"/>
              </w:rPr>
            </w:pPr>
            <w:r>
              <w:rPr>
                <w:rFonts w:hint="eastAsia" w:ascii="宋体" w:hAnsi="宋体" w:eastAsia="宋体" w:cs="宋体"/>
                <w:b/>
                <w:bCs/>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音乐</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spacing w:line="360" w:lineRule="auto"/>
              <w:rPr>
                <w:rFonts w:hint="eastAsia" w:ascii="宋体" w:hAnsi="宋体" w:eastAsia="宋体" w:cs="宋体"/>
                <w:sz w:val="24"/>
                <w:szCs w:val="24"/>
              </w:rPr>
            </w:pPr>
            <w:r>
              <w:rPr>
                <w:rFonts w:hint="eastAsia" w:ascii="宋体" w:hAnsi="宋体" w:eastAsia="宋体" w:cs="宋体"/>
                <w:b/>
                <w:bCs/>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3.25</w:t>
            </w:r>
          </w:p>
        </w:tc>
      </w:tr>
      <w:tr>
        <w:tblPrEx>
          <w:shd w:val="clear" w:color="auto" w:fill="FFFFFF"/>
          <w:tblLayout w:type="fixed"/>
          <w:tblCellMar>
            <w:top w:w="15" w:type="dxa"/>
            <w:left w:w="15" w:type="dxa"/>
            <w:bottom w:w="15" w:type="dxa"/>
            <w:right w:w="15" w:type="dxa"/>
          </w:tblCellMar>
        </w:tblPrEx>
        <w:trPr>
          <w:trHeight w:val="630" w:hRule="atLeast"/>
        </w:trPr>
        <w:tc>
          <w:tcPr>
            <w:tcW w:w="226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spacing w:line="360" w:lineRule="auto"/>
              <w:rPr>
                <w:rFonts w:hint="eastAsia" w:ascii="宋体" w:hAnsi="宋体" w:eastAsia="宋体" w:cs="宋体"/>
                <w:sz w:val="24"/>
                <w:szCs w:val="24"/>
              </w:rPr>
            </w:pPr>
            <w:r>
              <w:rPr>
                <w:rFonts w:hint="eastAsia" w:ascii="宋体" w:hAnsi="宋体" w:eastAsia="宋体" w:cs="宋体"/>
                <w:b/>
                <w:bCs/>
                <w:sz w:val="24"/>
                <w:szCs w:val="24"/>
              </w:rPr>
              <w:t>学习书籍</w:t>
            </w:r>
          </w:p>
        </w:tc>
        <w:tc>
          <w:tcPr>
            <w:tcW w:w="6210"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读《反思教育》</w:t>
            </w:r>
          </w:p>
        </w:tc>
      </w:tr>
      <w:tr>
        <w:tblPrEx>
          <w:shd w:val="clear" w:color="auto" w:fill="FFFFFF"/>
          <w:tblLayout w:type="fixed"/>
          <w:tblCellMar>
            <w:top w:w="15" w:type="dxa"/>
            <w:left w:w="15" w:type="dxa"/>
            <w:bottom w:w="15" w:type="dxa"/>
            <w:right w:w="15" w:type="dxa"/>
          </w:tblCellMar>
        </w:tblPrEx>
        <w:trPr>
          <w:trHeight w:val="3855" w:hRule="atLeast"/>
        </w:trPr>
        <w:tc>
          <w:tcPr>
            <w:tcW w:w="8475" w:type="dxa"/>
            <w:gridSpan w:val="6"/>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大学职能使命的提法。我们平常讲教学、科研、社会服务和文化传承。但是，按照报告的人文主义教育观，这种习用的提法似乎还没有直达教育的本质，是否应该定位高等教育的使命职责就是一般意义上的教育的使命和职责，即：尊重生命和实现人类尊严、促进权利平等和社会正义、包涵文化多样性、促进国际团结、为创造可持续的未来承担共同责任等。因此，课程政策和课程内容必须以社会和经济正义、平等和环境责任为指导，而这些正是维护可持续发展的中流砥柱。</w:t>
            </w:r>
          </w:p>
        </w:tc>
      </w:tr>
      <w:tr>
        <w:tblPrEx>
          <w:shd w:val="clear" w:color="auto" w:fill="FFFFFF"/>
          <w:tblLayout w:type="fixed"/>
          <w:tblCellMar>
            <w:top w:w="15" w:type="dxa"/>
            <w:left w:w="15" w:type="dxa"/>
            <w:bottom w:w="15" w:type="dxa"/>
            <w:right w:w="15" w:type="dxa"/>
          </w:tblCellMar>
        </w:tblPrEx>
        <w:trPr>
          <w:trHeight w:val="5100" w:hRule="atLeast"/>
        </w:trPr>
        <w:tc>
          <w:tcPr>
            <w:tcW w:w="8475" w:type="dxa"/>
            <w:gridSpan w:val="6"/>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spacing w:line="360" w:lineRule="auto"/>
              <w:rPr>
                <w:rFonts w:hint="eastAsia" w:ascii="宋体" w:hAnsi="宋体" w:eastAsia="宋体" w:cs="宋体"/>
                <w:sz w:val="24"/>
                <w:szCs w:val="24"/>
              </w:rPr>
            </w:pPr>
            <w:bookmarkStart w:id="0" w:name="_GoBack"/>
            <w:bookmarkEnd w:id="0"/>
            <w:r>
              <w:rPr>
                <w:rFonts w:hint="eastAsia" w:ascii="宋体" w:hAnsi="宋体" w:eastAsia="宋体" w:cs="宋体"/>
                <w:b/>
                <w:bCs/>
                <w:sz w:val="24"/>
                <w:szCs w:val="24"/>
              </w:rPr>
              <w:t xml:space="preserve"> 读书心得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知识的多维性。我们平常太注重技能和认知能力，但是，报告提醒我们：可以将知识广泛地理解为通过学习获得的信息、理解、技能、价值观和态度。价值观和态度常常为我们所忽视。要更加重视“可转移技能”“21世纪技能”“非认知技能”，其中包括交流、数字素养、解决问题、团队合作及创业。</w:t>
            </w:r>
          </w:p>
          <w:p>
            <w:pPr>
              <w:spacing w:line="360" w:lineRule="auto"/>
              <w:rPr>
                <w:rFonts w:hint="eastAsia" w:ascii="宋体" w:hAnsi="宋体" w:eastAsia="宋体" w:cs="宋体"/>
                <w:sz w:val="24"/>
                <w:szCs w:val="24"/>
              </w:rPr>
            </w:pPr>
            <w:r>
              <w:rPr>
                <w:rFonts w:hint="eastAsia" w:ascii="宋体" w:hAnsi="宋体" w:eastAsia="宋体" w:cs="宋体"/>
                <w:sz w:val="24"/>
                <w:szCs w:val="24"/>
              </w:rPr>
              <w:t>学习既是个人行为，也是集体努力。学习需要各利益攸关方协作，需要彼此讨论、面对面的人际交流，需共享信息、协同创新知识等等。我觉得，我们的学业考评等太多的导致了学生的个体学习行为甚至彼此的互斥竞争性学习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高等教育国际化的内涵不仅仅是外语教学、留学生教育、合作科研、师资的国外进修以及外聘外教等，还包括遵守“价值观共同核心内容”、消除身份政治教育可能引起的国际不和谐隐患、教育的全球治理（如欧洲资质框架）、制定“世界参考水平”、世界观和知识体系的这种多样性、“正视在跨越国界、专业和学习空间的流动性不断增强的世界中承认和认证学习”等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B2"/>
    <w:rsid w:val="0014672E"/>
    <w:rsid w:val="003230BA"/>
    <w:rsid w:val="004069B2"/>
    <w:rsid w:val="004D3603"/>
    <w:rsid w:val="00D962FC"/>
    <w:rsid w:val="00DA42A8"/>
    <w:rsid w:val="11D1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610</Characters>
  <Lines>5</Lines>
  <Paragraphs>1</Paragraphs>
  <TotalTime>4</TotalTime>
  <ScaleCrop>false</ScaleCrop>
  <LinksUpToDate>false</LinksUpToDate>
  <CharactersWithSpaces>716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2019-03-24T23:47:00Z</dcterms:created>
  <dc:creator>清 张</dc:creator>
  <cp:lastModifiedBy>赵振红</cp:lastModifiedBy>
  <dcterms:modified xsi:type="dcterms:W3CDTF">2019-03-25T01:22:43Z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