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margin" w:tblpXSpec="center" w:tblpY="1597"/>
        <w:tblOverlap w:val="never"/>
        <w:tblW w:w="10665" w:type="dxa"/>
        <w:tblCellSpacing w:w="15" w:type="dxa"/>
        <w:tblInd w:w="0" w:type="dxa"/>
        <w:tblLayout w:type="fixed"/>
        <w:tblCellMar>
          <w:top w:w="15" w:type="dxa"/>
          <w:left w:w="15" w:type="dxa"/>
          <w:bottom w:w="15" w:type="dxa"/>
          <w:right w:w="15" w:type="dxa"/>
        </w:tblCellMar>
      </w:tblPr>
      <w:tblGrid>
        <w:gridCol w:w="1221"/>
        <w:gridCol w:w="1130"/>
        <w:gridCol w:w="2474"/>
        <w:gridCol w:w="1653"/>
        <w:gridCol w:w="1188"/>
        <w:gridCol w:w="2999"/>
      </w:tblGrid>
      <w:tr>
        <w:tblPrEx>
          <w:tblLayout w:type="fixed"/>
          <w:tblCellMar>
            <w:top w:w="15" w:type="dxa"/>
            <w:left w:w="15" w:type="dxa"/>
            <w:bottom w:w="15" w:type="dxa"/>
            <w:right w:w="15" w:type="dxa"/>
          </w:tblCellMar>
        </w:tblPrEx>
        <w:trPr>
          <w:trHeight w:val="495" w:hRule="atLeast"/>
          <w:tblCellSpacing w:w="15" w:type="dxa"/>
        </w:trPr>
        <w:tc>
          <w:tcPr>
            <w:tcW w:w="117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widowControl/>
              <w:spacing w:line="345" w:lineRule="atLeast"/>
              <w:jc w:val="center"/>
            </w:pPr>
            <w:r>
              <w:rPr>
                <w:rStyle w:val="5"/>
                <w:rFonts w:hint="eastAsia" w:ascii="宋体" w:hAnsi="宋体" w:cs="宋体"/>
                <w:color w:val="000000"/>
                <w:spacing w:val="15"/>
              </w:rPr>
              <w:t>学习者</w:t>
            </w:r>
          </w:p>
        </w:tc>
        <w:tc>
          <w:tcPr>
            <w:tcW w:w="110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2"/>
              <w:widowControl/>
              <w:spacing w:line="345" w:lineRule="atLeast"/>
              <w:jc w:val="both"/>
              <w:rPr>
                <w:rFonts w:hint="eastAsia" w:eastAsia="宋体"/>
                <w:b/>
                <w:lang w:val="en-US" w:eastAsia="zh-CN"/>
              </w:rPr>
            </w:pPr>
            <w:r>
              <w:rPr>
                <w:rFonts w:hint="eastAsia"/>
                <w:b/>
                <w:lang w:val="en-US" w:eastAsia="zh-CN"/>
              </w:rPr>
              <w:t>汤婷</w:t>
            </w:r>
          </w:p>
        </w:tc>
        <w:tc>
          <w:tcPr>
            <w:tcW w:w="244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2"/>
              <w:widowControl/>
              <w:spacing w:line="345" w:lineRule="atLeast"/>
              <w:jc w:val="center"/>
            </w:pPr>
            <w:r>
              <w:rPr>
                <w:rStyle w:val="5"/>
                <w:rFonts w:hint="eastAsia" w:ascii="宋体" w:hAnsi="宋体" w:cs="宋体"/>
                <w:color w:val="000000"/>
                <w:spacing w:val="15"/>
              </w:rPr>
              <w:t>任教年级、学科</w:t>
            </w:r>
          </w:p>
        </w:tc>
        <w:tc>
          <w:tcPr>
            <w:tcW w:w="162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2"/>
              <w:widowControl/>
              <w:spacing w:line="345" w:lineRule="atLeast"/>
              <w:jc w:val="center"/>
              <w:rPr>
                <w:rFonts w:hint="eastAsia" w:eastAsia="宋体"/>
                <w:lang w:eastAsia="zh-CN"/>
              </w:rPr>
            </w:pPr>
            <w:r>
              <w:rPr>
                <w:rStyle w:val="5"/>
                <w:rFonts w:hint="eastAsia" w:ascii="宋体" w:hAnsi="宋体" w:cs="宋体"/>
                <w:color w:val="000000"/>
                <w:spacing w:val="15"/>
                <w:lang w:eastAsia="zh-CN"/>
              </w:rPr>
              <w:t>三英</w:t>
            </w:r>
          </w:p>
        </w:tc>
        <w:tc>
          <w:tcPr>
            <w:tcW w:w="115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2"/>
              <w:widowControl/>
              <w:spacing w:line="345" w:lineRule="atLeast"/>
              <w:jc w:val="center"/>
            </w:pPr>
            <w:r>
              <w:rPr>
                <w:rStyle w:val="5"/>
                <w:rFonts w:hint="eastAsia" w:ascii="宋体" w:hAnsi="宋体" w:cs="宋体"/>
                <w:color w:val="000000"/>
                <w:spacing w:val="15"/>
              </w:rPr>
              <w:t>学习时间</w:t>
            </w:r>
          </w:p>
        </w:tc>
        <w:tc>
          <w:tcPr>
            <w:tcW w:w="295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2"/>
              <w:widowControl/>
              <w:spacing w:line="345" w:lineRule="atLeast"/>
              <w:jc w:val="center"/>
              <w:rPr>
                <w:rFonts w:hint="eastAsia" w:eastAsia="宋体"/>
                <w:lang w:val="en-US" w:eastAsia="zh-CN"/>
              </w:rPr>
            </w:pPr>
            <w:r>
              <w:rPr>
                <w:rStyle w:val="5"/>
                <w:rFonts w:ascii="Times New Roman" w:hAnsi="Times New Roman"/>
                <w:color w:val="000000"/>
                <w:spacing w:val="15"/>
              </w:rPr>
              <w:t>2019</w:t>
            </w:r>
            <w:r>
              <w:rPr>
                <w:rStyle w:val="5"/>
                <w:rFonts w:hint="eastAsia" w:ascii="宋体" w:hAnsi="宋体" w:cs="宋体"/>
                <w:color w:val="000000"/>
                <w:spacing w:val="15"/>
              </w:rPr>
              <w:t>．</w:t>
            </w:r>
            <w:r>
              <w:rPr>
                <w:rStyle w:val="5"/>
                <w:rFonts w:hint="eastAsia" w:ascii="宋体" w:hAnsi="宋体" w:cs="宋体"/>
                <w:color w:val="000000"/>
                <w:spacing w:val="15"/>
                <w:lang w:val="en-US" w:eastAsia="zh-CN"/>
              </w:rPr>
              <w:t>1</w:t>
            </w:r>
            <w:bookmarkStart w:id="0" w:name="_GoBack"/>
            <w:bookmarkEnd w:id="0"/>
          </w:p>
        </w:tc>
      </w:tr>
      <w:tr>
        <w:tblPrEx>
          <w:tblLayout w:type="fixed"/>
          <w:tblCellMar>
            <w:top w:w="15" w:type="dxa"/>
            <w:left w:w="15" w:type="dxa"/>
            <w:bottom w:w="15" w:type="dxa"/>
            <w:right w:w="15" w:type="dxa"/>
          </w:tblCellMar>
        </w:tblPrEx>
        <w:trPr>
          <w:trHeight w:val="420" w:hRule="atLeast"/>
          <w:tblCellSpacing w:w="15" w:type="dxa"/>
        </w:trPr>
        <w:tc>
          <w:tcPr>
            <w:tcW w:w="2306"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widowControl/>
              <w:spacing w:line="345" w:lineRule="atLeast"/>
              <w:jc w:val="center"/>
            </w:pPr>
            <w:r>
              <w:rPr>
                <w:rStyle w:val="5"/>
                <w:rFonts w:hint="eastAsia" w:ascii="宋体" w:hAnsi="宋体" w:cs="宋体"/>
                <w:color w:val="000000"/>
                <w:spacing w:val="15"/>
              </w:rPr>
              <w:t>学习书籍</w:t>
            </w:r>
          </w:p>
        </w:tc>
        <w:tc>
          <w:tcPr>
            <w:tcW w:w="8269"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pStyle w:val="2"/>
              <w:widowControl/>
              <w:spacing w:line="345" w:lineRule="atLeast"/>
              <w:ind w:firstLine="2168" w:firstLineChars="800"/>
              <w:jc w:val="both"/>
            </w:pPr>
            <w:r>
              <w:rPr>
                <w:rStyle w:val="5"/>
                <w:rFonts w:hint="eastAsia" w:ascii="宋体" w:hAnsi="宋体" w:cs="宋体"/>
                <w:color w:val="000000"/>
                <w:spacing w:val="15"/>
              </w:rPr>
              <w:t>《反思教育》</w:t>
            </w:r>
          </w:p>
        </w:tc>
      </w:tr>
      <w:tr>
        <w:tblPrEx>
          <w:tblLayout w:type="fixed"/>
          <w:tblCellMar>
            <w:top w:w="15" w:type="dxa"/>
            <w:left w:w="15" w:type="dxa"/>
            <w:bottom w:w="15" w:type="dxa"/>
            <w:right w:w="15" w:type="dxa"/>
          </w:tblCellMar>
        </w:tblPrEx>
        <w:trPr>
          <w:trHeight w:val="4650" w:hRule="atLeast"/>
          <w:tblCellSpacing w:w="15" w:type="dxa"/>
        </w:trPr>
        <w:tc>
          <w:tcPr>
            <w:tcW w:w="10605" w:type="dxa"/>
            <w:gridSpan w:val="6"/>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2"/>
              <w:widowControl/>
              <w:spacing w:line="405" w:lineRule="atLeast"/>
              <w:rPr>
                <w:rFonts w:hint="eastAsia" w:ascii="宋体" w:hAnsi="宋体" w:cs="宋体"/>
                <w:color w:val="000000"/>
                <w:spacing w:val="15"/>
              </w:rPr>
            </w:pPr>
            <w:r>
              <w:rPr>
                <w:rStyle w:val="5"/>
                <w:rFonts w:hint="eastAsia" w:ascii="宋体" w:hAnsi="宋体" w:cs="宋体"/>
                <w:color w:val="000000"/>
                <w:spacing w:val="15"/>
                <w:sz w:val="28"/>
                <w:szCs w:val="28"/>
              </w:rPr>
              <w:t>内容摘要</w:t>
            </w:r>
            <w:r>
              <w:rPr>
                <w:rFonts w:hint="eastAsia" w:ascii="宋体" w:hAnsi="宋体" w:cs="宋体"/>
                <w:color w:val="000000"/>
                <w:spacing w:val="15"/>
              </w:rPr>
              <w:t>：</w:t>
            </w:r>
          </w:p>
          <w:p>
            <w:pPr>
              <w:pStyle w:val="2"/>
              <w:widowControl/>
              <w:spacing w:line="405" w:lineRule="atLeast"/>
              <w:ind w:firstLine="540" w:firstLineChars="200"/>
              <w:rPr>
                <w:rStyle w:val="5"/>
                <w:rFonts w:ascii="宋体" w:hAnsi="宋体" w:cs="宋体"/>
                <w:b w:val="0"/>
                <w:color w:val="000000"/>
                <w:spacing w:val="15"/>
                <w:shd w:val="clear" w:color="auto" w:fill="FFFFFF"/>
              </w:rPr>
            </w:pPr>
            <w:r>
              <w:rPr>
                <w:rFonts w:hint="eastAsia" w:ascii="宋体" w:hAnsi="宋体" w:eastAsia="宋体" w:cs="宋体"/>
                <w:i w:val="0"/>
                <w:caps w:val="0"/>
                <w:color w:val="000000"/>
                <w:spacing w:val="15"/>
                <w:sz w:val="24"/>
                <w:szCs w:val="24"/>
                <w:shd w:val="clear" w:fill="FFFFFF"/>
              </w:rPr>
              <w:t>如何培养符合</w:t>
            </w:r>
            <w:r>
              <w:rPr>
                <w:rFonts w:ascii="Arial" w:hAnsi="Arial" w:eastAsia="宋体" w:cs="Arial"/>
                <w:i w:val="0"/>
                <w:caps w:val="0"/>
                <w:color w:val="000000"/>
                <w:spacing w:val="15"/>
                <w:sz w:val="24"/>
                <w:szCs w:val="24"/>
                <w:shd w:val="clear" w:fill="FFFFFF"/>
              </w:rPr>
              <w:t>21</w:t>
            </w:r>
            <w:r>
              <w:rPr>
                <w:rFonts w:hint="eastAsia" w:ascii="宋体" w:hAnsi="宋体" w:eastAsia="宋体" w:cs="宋体"/>
                <w:i w:val="0"/>
                <w:caps w:val="0"/>
                <w:color w:val="000000"/>
                <w:spacing w:val="15"/>
                <w:sz w:val="24"/>
                <w:szCs w:val="24"/>
                <w:shd w:val="clear" w:fill="FFFFFF"/>
              </w:rPr>
              <w:t>世纪要求的新型创新人才，如何通过积极参与全球教育治理，探索和提出教育的中国主张、中国方案和中国表达</w:t>
            </w:r>
            <w:r>
              <w:rPr>
                <w:rFonts w:hint="default" w:ascii="Arial" w:hAnsi="Arial" w:eastAsia="宋体" w:cs="Arial"/>
                <w:i w:val="0"/>
                <w:caps w:val="0"/>
                <w:color w:val="000000"/>
                <w:spacing w:val="15"/>
                <w:sz w:val="24"/>
                <w:szCs w:val="24"/>
                <w:shd w:val="clear" w:fill="FFFFFF"/>
              </w:rPr>
              <w:t>,</w:t>
            </w:r>
            <w:r>
              <w:rPr>
                <w:rFonts w:hint="eastAsia" w:ascii="宋体" w:hAnsi="宋体" w:eastAsia="宋体" w:cs="宋体"/>
                <w:i w:val="0"/>
                <w:caps w:val="0"/>
                <w:color w:val="000000"/>
                <w:spacing w:val="15"/>
                <w:sz w:val="24"/>
                <w:szCs w:val="24"/>
                <w:shd w:val="clear" w:fill="FFFFFF"/>
              </w:rPr>
              <w:t>促进中国教育事业的发展，维护人类命运共同体的和平和持续发展。他勉励中国的教育科研人员和学术出版机构，应努力拓宽国际视野。中国教育科学研究院院长田慧生在致辞中指出，联合国教科文组织《反思教育》一书，立足人类可中国教育科学研究院正在朝着一流国家教育智库迈进，将进一步加强与联合国教科文组织等重要国际组织以及世界各国重要的教育研究机构、教育智库的交流合作，加强对国际教育政策动态、国际重大教育规则的研究，深化多边教育合作，主动向全球教育发展议题上提出新主张、新倡议和新方案。持续发展的核心关切，提出教育是</w:t>
            </w:r>
            <w:r>
              <w:rPr>
                <w:rFonts w:hint="default" w:ascii="Arial" w:hAnsi="Arial" w:eastAsia="宋体" w:cs="Arial"/>
                <w:i w:val="0"/>
                <w:caps w:val="0"/>
                <w:color w:val="000000"/>
                <w:spacing w:val="15"/>
                <w:sz w:val="24"/>
                <w:szCs w:val="24"/>
                <w:shd w:val="clear" w:fill="FFFFFF"/>
              </w:rPr>
              <w:t>“</w:t>
            </w:r>
            <w:r>
              <w:rPr>
                <w:rFonts w:hint="eastAsia" w:ascii="宋体" w:hAnsi="宋体" w:eastAsia="宋体" w:cs="宋体"/>
                <w:i w:val="0"/>
                <w:caps w:val="0"/>
                <w:color w:val="000000"/>
                <w:spacing w:val="15"/>
                <w:sz w:val="24"/>
                <w:szCs w:val="24"/>
                <w:shd w:val="clear" w:fill="FFFFFF"/>
              </w:rPr>
              <w:t>全球共同利益</w:t>
            </w:r>
            <w:r>
              <w:rPr>
                <w:rFonts w:hint="default" w:ascii="Arial" w:hAnsi="Arial" w:eastAsia="宋体" w:cs="Arial"/>
                <w:i w:val="0"/>
                <w:caps w:val="0"/>
                <w:color w:val="000000"/>
                <w:spacing w:val="15"/>
                <w:sz w:val="24"/>
                <w:szCs w:val="24"/>
                <w:shd w:val="clear" w:fill="FFFFFF"/>
              </w:rPr>
              <w:t>”</w:t>
            </w:r>
            <w:r>
              <w:rPr>
                <w:rFonts w:hint="eastAsia" w:ascii="宋体" w:hAnsi="宋体" w:eastAsia="宋体" w:cs="宋体"/>
                <w:i w:val="0"/>
                <w:caps w:val="0"/>
                <w:color w:val="000000"/>
                <w:spacing w:val="15"/>
                <w:sz w:val="24"/>
                <w:szCs w:val="24"/>
                <w:shd w:val="clear" w:fill="FFFFFF"/>
              </w:rPr>
              <w:t>的理念，对世界各国包括中国的教育变革有着重要的启示意义。</w:t>
            </w:r>
            <w:r>
              <w:rPr>
                <w:rStyle w:val="5"/>
                <w:rFonts w:hint="eastAsia" w:ascii="宋体" w:hAnsi="宋体" w:cs="宋体"/>
                <w:b w:val="0"/>
                <w:color w:val="000000"/>
                <w:spacing w:val="15"/>
                <w:shd w:val="clear" w:color="auto" w:fill="FFFFFF"/>
              </w:rPr>
              <w:t xml:space="preserve">      </w:t>
            </w:r>
          </w:p>
          <w:p>
            <w:pPr>
              <w:pStyle w:val="2"/>
              <w:widowControl/>
              <w:spacing w:line="405" w:lineRule="atLeast"/>
              <w:ind w:firstLine="555"/>
            </w:pPr>
          </w:p>
        </w:tc>
      </w:tr>
      <w:tr>
        <w:tblPrEx>
          <w:tblLayout w:type="fixed"/>
          <w:tblCellMar>
            <w:top w:w="15" w:type="dxa"/>
            <w:left w:w="15" w:type="dxa"/>
            <w:bottom w:w="15" w:type="dxa"/>
            <w:right w:w="15" w:type="dxa"/>
          </w:tblCellMar>
        </w:tblPrEx>
        <w:trPr>
          <w:trHeight w:val="3900" w:hRule="atLeast"/>
          <w:tblCellSpacing w:w="15" w:type="dxa"/>
        </w:trPr>
        <w:tc>
          <w:tcPr>
            <w:tcW w:w="10605" w:type="dxa"/>
            <w:gridSpan w:val="6"/>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2"/>
              <w:widowControl/>
              <w:shd w:val="clear" w:color="auto" w:fill="FFFFFF"/>
              <w:spacing w:line="360" w:lineRule="atLeast"/>
              <w:rPr>
                <w:rFonts w:hint="eastAsia" w:ascii="Arial" w:hAnsi="Arial" w:cs="Arial"/>
                <w:color w:val="000000"/>
                <w:shd w:val="clear" w:color="auto" w:fill="FFFFFF"/>
              </w:rPr>
            </w:pPr>
            <w:r>
              <w:rPr>
                <w:rStyle w:val="5"/>
                <w:rFonts w:hint="eastAsia" w:ascii="宋体" w:hAnsi="宋体" w:cs="宋体"/>
                <w:color w:val="000000"/>
                <w:spacing w:val="15"/>
                <w:sz w:val="28"/>
                <w:szCs w:val="28"/>
                <w:shd w:val="clear" w:color="auto" w:fill="FFFFFF"/>
              </w:rPr>
              <w:t>学</w:t>
            </w:r>
            <w:r>
              <w:rPr>
                <w:rFonts w:hint="eastAsia" w:ascii="Arial" w:hAnsi="Arial" w:cs="Arial"/>
                <w:b/>
                <w:color w:val="000000"/>
                <w:shd w:val="clear" w:color="auto" w:fill="FFFFFF"/>
              </w:rPr>
              <w:t>习体会</w:t>
            </w:r>
            <w:r>
              <w:rPr>
                <w:rFonts w:hint="eastAsia" w:ascii="Arial" w:hAnsi="Arial" w:cs="Arial"/>
                <w:color w:val="000000"/>
                <w:shd w:val="clear" w:color="auto" w:fill="FFFFFF"/>
              </w:rPr>
              <w:t>：</w:t>
            </w:r>
          </w:p>
          <w:p>
            <w:pPr>
              <w:pStyle w:val="2"/>
              <w:widowControl/>
              <w:shd w:val="clear" w:color="auto" w:fill="FFFFFF"/>
              <w:spacing w:line="360" w:lineRule="atLeast"/>
              <w:ind w:firstLine="270" w:firstLineChars="100"/>
              <w:rPr>
                <w:rFonts w:ascii="宋体" w:cs="宋体"/>
                <w:color w:val="000000"/>
                <w:spacing w:val="15"/>
                <w:shd w:val="clear" w:color="auto" w:fill="FFFFFF"/>
              </w:rPr>
            </w:pPr>
            <w:r>
              <w:rPr>
                <w:rFonts w:hint="eastAsia" w:ascii="宋体" w:hAnsi="宋体" w:eastAsia="宋体" w:cs="宋体"/>
                <w:i w:val="0"/>
                <w:caps w:val="0"/>
                <w:color w:val="000000"/>
                <w:spacing w:val="15"/>
                <w:sz w:val="24"/>
                <w:szCs w:val="24"/>
              </w:rPr>
              <w:t>我们必须吸取适当的经验教训，确定新的前进方向。在机会获取方面尚有不足；我们必须把新的重点放在教育质量和学习相关性上，放在儿童、青年和成人的实际学习内容上。学校教育和正规教育是主体，但我们必须放宽眼界，促进终身学习。</w:t>
            </w:r>
            <w:r>
              <w:rPr>
                <w:rFonts w:hint="eastAsia" w:ascii="宋体" w:hAnsi="宋体" w:eastAsia="宋体" w:cs="宋体"/>
                <w:b w:val="0"/>
                <w:i w:val="0"/>
                <w:caps w:val="0"/>
                <w:color w:val="000000"/>
                <w:spacing w:val="15"/>
                <w:sz w:val="21"/>
                <w:szCs w:val="21"/>
                <w:shd w:val="clear" w:fill="FFFFFF"/>
              </w:rPr>
              <w:t>《反思教育：向“全球共同利益”的理念转变？》是联合国教科文组织去年发布的研究报告，是继1972年发布富尔报告和1996年发布德洛尔报告之后的第三份重要报告，顾明远先生称之为“必定像前两份报告那样对世界教育的发展产生重大的影响”。</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C6210"/>
    <w:rsid w:val="16047400"/>
    <w:rsid w:val="28AF39F7"/>
    <w:rsid w:val="3A8E319B"/>
    <w:rsid w:val="44412D23"/>
    <w:rsid w:val="57AB6BC4"/>
    <w:rsid w:val="721C772F"/>
    <w:rsid w:val="73B25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kern w:val="0"/>
      <w:sz w:val="24"/>
    </w:rPr>
  </w:style>
  <w:style w:type="character" w:styleId="5">
    <w:name w:val="Strong"/>
    <w:qFormat/>
    <w:uiPriority w:val="99"/>
    <w:rPr>
      <w:rFonts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2019-06-17T07:19:34Z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