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前黄中心小学</w:t>
      </w:r>
      <w:r>
        <w:rPr>
          <w:b/>
          <w:sz w:val="32"/>
          <w:szCs w:val="32"/>
          <w:u w:val="single"/>
        </w:rPr>
        <w:t xml:space="preserve"> </w:t>
      </w:r>
      <w:r>
        <w:rPr>
          <w:rFonts w:hint="eastAsia"/>
          <w:b/>
          <w:sz w:val="32"/>
          <w:szCs w:val="32"/>
          <w:u w:val="single"/>
          <w:lang w:val="en-US" w:eastAsia="zh-CN"/>
        </w:rPr>
        <w:t xml:space="preserve">  </w:t>
      </w:r>
      <w:r>
        <w:rPr>
          <w:rFonts w:hint="eastAsia"/>
          <w:b/>
          <w:sz w:val="32"/>
          <w:szCs w:val="32"/>
          <w:u w:val="single"/>
        </w:rPr>
        <w:t>年级数学</w:t>
      </w:r>
      <w:r>
        <w:rPr>
          <w:rFonts w:hint="eastAsia"/>
          <w:b/>
          <w:sz w:val="32"/>
          <w:szCs w:val="32"/>
        </w:rPr>
        <w:t>备课组集体备课研讨记录</w:t>
      </w:r>
    </w:p>
    <w:tbl>
      <w:tblPr>
        <w:tblStyle w:val="5"/>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时间</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地点</w:t>
            </w:r>
          </w:p>
        </w:tc>
        <w:tc>
          <w:tcPr>
            <w:tcW w:w="28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8"/>
                <w:szCs w:val="28"/>
                <w:lang w:eastAsia="zh-CN"/>
              </w:rPr>
            </w:pPr>
            <w:r>
              <w:rPr>
                <w:rFonts w:hint="eastAsia" w:eastAsia="宋体"/>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8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集体备课内容</w:t>
            </w:r>
          </w:p>
        </w:tc>
        <w:tc>
          <w:tcPr>
            <w:tcW w:w="6298" w:type="dxa"/>
            <w:gridSpan w:val="3"/>
            <w:tcBorders>
              <w:top w:val="single" w:color="auto" w:sz="4" w:space="0"/>
              <w:left w:val="single" w:color="auto" w:sz="4" w:space="0"/>
              <w:bottom w:val="single" w:color="auto" w:sz="4" w:space="0"/>
              <w:right w:val="single" w:color="auto" w:sz="4" w:space="0"/>
            </w:tcBorders>
            <w:vAlign w:val="center"/>
          </w:tcPr>
          <w:p>
            <w:pPr>
              <w:ind w:firstLine="980" w:firstLineChars="350"/>
              <w:rPr>
                <w:rFonts w:hint="eastAsia" w:eastAsia="宋体"/>
                <w:sz w:val="28"/>
                <w:szCs w:val="28"/>
                <w:lang w:eastAsia="zh-CN"/>
              </w:rPr>
            </w:pPr>
            <w:r>
              <w:rPr>
                <w:rFonts w:hint="eastAsia" w:eastAsia="宋体"/>
                <w:sz w:val="28"/>
                <w:szCs w:val="28"/>
                <w:lang w:eastAsia="zh-CN"/>
              </w:rPr>
              <w:t>解决问题的策略转化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主讲人</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吴小娟</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记录人</w:t>
            </w:r>
          </w:p>
        </w:tc>
        <w:tc>
          <w:tcPr>
            <w:tcW w:w="28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吴小娟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参加人员</w:t>
            </w:r>
          </w:p>
        </w:tc>
        <w:tc>
          <w:tcPr>
            <w:tcW w:w="715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eastAsia="zh-CN"/>
              </w:rPr>
              <w:t>杨冬青</w:t>
            </w:r>
            <w:r>
              <w:rPr>
                <w:rFonts w:hint="eastAsia" w:ascii="宋体" w:hAnsi="宋体" w:eastAsia="宋体"/>
                <w:sz w:val="28"/>
                <w:szCs w:val="28"/>
                <w:lang w:val="en-US" w:eastAsia="zh-CN"/>
              </w:rPr>
              <w:t xml:space="preserve">   沈春英   </w:t>
            </w:r>
            <w:r>
              <w:rPr>
                <w:rFonts w:hint="eastAsia" w:ascii="宋体" w:hAnsi="宋体" w:eastAsia="宋体"/>
                <w:sz w:val="28"/>
                <w:szCs w:val="28"/>
                <w:lang w:eastAsia="zh-CN"/>
              </w:rPr>
              <w:t>陈丽萍</w:t>
            </w:r>
            <w:r>
              <w:rPr>
                <w:rFonts w:hint="eastAsia" w:ascii="宋体" w:hAnsi="宋体" w:eastAsia="宋体"/>
                <w:sz w:val="28"/>
                <w:szCs w:val="28"/>
                <w:lang w:val="en-US" w:eastAsia="zh-CN"/>
              </w:rPr>
              <w:t xml:space="preserve">  刘文明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集体</w:t>
            </w:r>
          </w:p>
          <w:p>
            <w:pPr>
              <w:jc w:val="center"/>
              <w:rPr>
                <w:sz w:val="24"/>
              </w:rPr>
            </w:pPr>
            <w:r>
              <w:rPr>
                <w:rFonts w:hint="eastAsia"/>
                <w:sz w:val="24"/>
              </w:rPr>
              <w:t>备课</w:t>
            </w:r>
          </w:p>
          <w:p>
            <w:pPr>
              <w:jc w:val="center"/>
              <w:rPr>
                <w:sz w:val="24"/>
              </w:rPr>
            </w:pPr>
            <w:r>
              <w:rPr>
                <w:rFonts w:hint="eastAsia"/>
                <w:sz w:val="24"/>
              </w:rPr>
              <w:t>研讨</w:t>
            </w:r>
          </w:p>
          <w:p>
            <w:pPr>
              <w:jc w:val="center"/>
              <w:rPr>
                <w:rFonts w:eastAsia="宋体"/>
                <w:sz w:val="24"/>
              </w:rPr>
            </w:pPr>
            <w:r>
              <w:rPr>
                <w:rFonts w:hint="eastAsia"/>
                <w:sz w:val="24"/>
              </w:rPr>
              <w:t>记录</w:t>
            </w:r>
          </w:p>
          <w:p>
            <w:pPr>
              <w:jc w:val="center"/>
              <w:rPr>
                <w:sz w:val="24"/>
              </w:rPr>
            </w:pPr>
          </w:p>
        </w:tc>
        <w:tc>
          <w:tcPr>
            <w:tcW w:w="7152" w:type="dxa"/>
            <w:gridSpan w:val="4"/>
            <w:tcBorders>
              <w:top w:val="single" w:color="auto" w:sz="4" w:space="0"/>
              <w:left w:val="single" w:color="auto" w:sz="4" w:space="0"/>
              <w:bottom w:val="single" w:color="auto" w:sz="4" w:space="0"/>
              <w:right w:val="single" w:color="auto" w:sz="4" w:space="0"/>
            </w:tcBorders>
          </w:tcPr>
          <w:p>
            <w:pPr>
              <w:pStyle w:val="4"/>
              <w:keepNext w:val="0"/>
              <w:keepLines w:val="0"/>
              <w:widowControl/>
              <w:suppressLineNumbers w:val="0"/>
              <w:shd w:val="clear" w:fill="FFFFFF"/>
              <w:spacing w:before="75" w:beforeAutospacing="0" w:after="75" w:afterAutospacing="0" w:line="390" w:lineRule="atLeast"/>
              <w:ind w:left="150" w:right="90" w:firstLine="0"/>
              <w:rPr>
                <w:rFonts w:ascii="宋体" w:hAnsi="宋体" w:eastAsia="宋体" w:cs="宋体"/>
                <w:i w:val="0"/>
                <w:caps w:val="0"/>
                <w:color w:val="333333"/>
                <w:spacing w:val="15"/>
                <w:sz w:val="21"/>
                <w:szCs w:val="21"/>
              </w:rPr>
            </w:pPr>
            <w:r>
              <w:rPr>
                <w:rStyle w:val="7"/>
                <w:rFonts w:hint="eastAsia" w:ascii="宋体" w:hAnsi="宋体" w:eastAsia="宋体" w:cs="宋体"/>
                <w:i w:val="0"/>
                <w:caps w:val="0"/>
                <w:color w:val="333333"/>
                <w:spacing w:val="15"/>
                <w:sz w:val="24"/>
                <w:szCs w:val="24"/>
                <w:shd w:val="clear" w:fill="FFFFFF"/>
              </w:rPr>
              <w:t>研讨发言记录：</w:t>
            </w:r>
          </w:p>
          <w:p>
            <w:pPr>
              <w:pStyle w:val="4"/>
              <w:keepNext w:val="0"/>
              <w:keepLines w:val="0"/>
              <w:widowControl/>
              <w:suppressLineNumbers w:val="0"/>
              <w:shd w:val="clear" w:fill="FFFFFF"/>
              <w:spacing w:before="75" w:beforeAutospacing="0" w:after="75" w:afterAutospacing="0" w:line="390" w:lineRule="atLeast"/>
              <w:ind w:right="90" w:firstLine="240" w:firstLineChars="100"/>
              <w:rPr>
                <w:rFonts w:hint="eastAsia" w:ascii="宋体" w:hAnsi="宋体" w:eastAsia="宋体" w:cs="宋体"/>
                <w:i w:val="0"/>
                <w:caps w:val="0"/>
                <w:color w:val="000000" w:themeColor="text1"/>
                <w:spacing w:val="15"/>
                <w:sz w:val="21"/>
                <w:szCs w:val="21"/>
                <w14:textFill>
                  <w14:solidFill>
                    <w14:schemeClr w14:val="tx1"/>
                  </w14:solidFill>
                </w14:textFill>
              </w:rPr>
            </w:pPr>
            <w:r>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t>杨冬青：</w:t>
            </w:r>
          </w:p>
          <w:p>
            <w:pPr>
              <w:pStyle w:val="4"/>
              <w:keepNext w:val="0"/>
              <w:keepLines w:val="0"/>
              <w:widowControl/>
              <w:suppressLineNumbers w:val="0"/>
              <w:shd w:val="clear" w:fill="FFFFFF"/>
              <w:spacing w:before="75" w:beforeAutospacing="0" w:after="75" w:afterAutospacing="0" w:line="390" w:lineRule="atLeast"/>
              <w:ind w:left="629" w:leftChars="71" w:right="90" w:hanging="480" w:hangingChars="200"/>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t> </w:t>
            </w:r>
            <w:r>
              <w:rPr>
                <w:rFonts w:hint="eastAsia" w:ascii="宋体" w:hAnsi="宋体" w:eastAsia="宋体" w:cs="宋体"/>
                <w:i w:val="0"/>
                <w:caps w:val="0"/>
                <w:color w:val="000000" w:themeColor="text1"/>
                <w:spacing w:val="15"/>
                <w:sz w:val="21"/>
                <w:szCs w:val="21"/>
                <w:shd w:val="clear" w:fill="FFFFFF"/>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w:t>
            </w:r>
            <w:r>
              <w:rPr>
                <w:rFonts w:hint="eastAsia"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为了让学生在思想上从策略的高度主动运用转化的策略，吴老师设计了图形转化、数形转化、实际问题转化等层次的练习。由于学生已经对转化的策略有了较深的认识和理解，因此在练习中，吴老师也基本是放手让学生自主思考，自主练习。通过计算、图形、比赛等一系列有层次的练习，让学生在运用转化策略的同时，感受到了转化策略的美妙。 </w:t>
            </w:r>
            <w:r>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t> </w:t>
            </w:r>
          </w:p>
          <w:p>
            <w:pPr>
              <w:pStyle w:val="4"/>
              <w:keepNext w:val="0"/>
              <w:keepLines w:val="0"/>
              <w:widowControl/>
              <w:suppressLineNumbers w:val="0"/>
              <w:shd w:val="clear" w:fill="FFFFFF"/>
              <w:spacing w:before="75" w:beforeAutospacing="0" w:after="75" w:afterAutospacing="0" w:line="390" w:lineRule="atLeast"/>
              <w:ind w:right="90" w:firstLine="240" w:firstLineChars="100"/>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15"/>
                <w:sz w:val="21"/>
                <w:szCs w:val="21"/>
                <w:shd w:val="clear" w:fill="FFFFFF"/>
                <w:lang w:eastAsia="zh-CN"/>
                <w14:textFill>
                  <w14:solidFill>
                    <w14:schemeClr w14:val="tx1"/>
                  </w14:solidFill>
                </w14:textFill>
              </w:rPr>
              <w:t>沈春英</w:t>
            </w:r>
            <w:r>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t>：</w:t>
            </w:r>
          </w:p>
          <w:p>
            <w:pPr>
              <w:pStyle w:val="4"/>
              <w:keepNext w:val="0"/>
              <w:keepLines w:val="0"/>
              <w:widowControl/>
              <w:suppressLineNumbers w:val="0"/>
              <w:shd w:val="clear" w:fill="FFFFFF"/>
              <w:spacing w:before="75" w:beforeAutospacing="0" w:after="75" w:afterAutospacing="0" w:line="390" w:lineRule="atLeast"/>
              <w:ind w:left="540" w:right="90" w:hanging="480" w:hangingChars="200"/>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t>  </w:t>
            </w:r>
            <w:r>
              <w:rPr>
                <w:rFonts w:hint="eastAsia" w:ascii="宋体" w:hAnsi="宋体" w:eastAsia="宋体" w:cs="宋体"/>
                <w:i w:val="0"/>
                <w:caps w:val="0"/>
                <w:color w:val="000000" w:themeColor="text1"/>
                <w:spacing w:val="15"/>
                <w:sz w:val="21"/>
                <w:szCs w:val="21"/>
                <w:shd w:val="clear" w:fill="FFFFFF"/>
                <w:lang w:val="en-US" w:eastAsia="zh-CN"/>
                <w14:textFill>
                  <w14:solidFill>
                    <w14:schemeClr w14:val="tx1"/>
                  </w14:solidFill>
                </w14:textFill>
              </w:rPr>
              <w:t xml:space="preserve"> </w:t>
            </w:r>
            <w:r>
              <w:rPr>
                <w:rFonts w:hint="eastAsia" w:cs="宋体"/>
                <w:i w:val="0"/>
                <w:caps w:val="0"/>
                <w:color w:val="000000" w:themeColor="text1"/>
                <w:spacing w:val="15"/>
                <w:sz w:val="21"/>
                <w:szCs w:val="21"/>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15"/>
                <w:sz w:val="21"/>
                <w:szCs w:val="21"/>
                <w:shd w:val="clear" w:fill="FFFFFF"/>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组织学生反思，使学生认识到把原来的连加算式转化成相对简单的减法算式是因为原来的算式本身具有特殊性。</w:t>
            </w:r>
          </w:p>
          <w:p>
            <w:pPr>
              <w:pStyle w:val="4"/>
              <w:keepNext w:val="0"/>
              <w:keepLines w:val="0"/>
              <w:widowControl/>
              <w:suppressLineNumbers w:val="0"/>
              <w:shd w:val="clear" w:fill="FFFFFF"/>
              <w:spacing w:before="75" w:beforeAutospacing="0" w:after="75" w:afterAutospacing="0" w:line="390" w:lineRule="atLeast"/>
              <w:ind w:right="90" w:firstLine="240" w:firstLineChars="100"/>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15"/>
                <w:sz w:val="21"/>
                <w:szCs w:val="21"/>
                <w:shd w:val="clear" w:fill="FFFFFF"/>
                <w:lang w:eastAsia="zh-CN"/>
                <w14:textFill>
                  <w14:solidFill>
                    <w14:schemeClr w14:val="tx1"/>
                  </w14:solidFill>
                </w14:textFill>
              </w:rPr>
              <w:t>刘文明</w:t>
            </w:r>
            <w:r>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t>：</w:t>
            </w:r>
          </w:p>
          <w:p>
            <w:pPr>
              <w:pStyle w:val="4"/>
              <w:keepNext w:val="0"/>
              <w:keepLines w:val="0"/>
              <w:widowControl/>
              <w:suppressLineNumbers w:val="0"/>
              <w:shd w:val="clear" w:fill="FFFFFF"/>
              <w:spacing w:before="75" w:beforeAutospacing="0" w:after="75" w:afterAutospacing="0" w:line="390" w:lineRule="atLeast"/>
              <w:ind w:left="540" w:right="90" w:hanging="480" w:hangingChars="200"/>
              <w:rPr>
                <w:rFonts w:hint="eastAsia" w:ascii="宋体" w:hAnsi="宋体" w:eastAsia="宋体" w:cs="宋体"/>
                <w:i w:val="0"/>
                <w:caps w:val="0"/>
                <w:color w:val="000000" w:themeColor="text1"/>
                <w:spacing w:val="15"/>
                <w:sz w:val="21"/>
                <w:szCs w:val="21"/>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15"/>
                <w:sz w:val="21"/>
                <w:szCs w:val="21"/>
                <w:shd w:val="clear" w:fill="FFFFFF"/>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w:t>
            </w:r>
            <w:r>
              <w:rPr>
                <w:rFonts w:hint="eastAsia"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在交流中要让学生明确今后遇到复杂的计算时，先要认真分析算式的特点，再依据算式特点尽可能转化为相对简单的算式，不断提高运算能力。</w:t>
            </w:r>
          </w:p>
          <w:p>
            <w:pPr>
              <w:pStyle w:val="4"/>
              <w:keepNext w:val="0"/>
              <w:keepLines w:val="0"/>
              <w:widowControl/>
              <w:suppressLineNumbers w:val="0"/>
              <w:shd w:val="clear" w:fill="FFFFFF"/>
              <w:spacing w:before="75" w:beforeAutospacing="0" w:after="75" w:afterAutospacing="0" w:line="390" w:lineRule="atLeast"/>
              <w:ind w:right="90" w:firstLine="240" w:firstLineChars="100"/>
              <w:rPr>
                <w:rFonts w:hint="eastAsia" w:ascii="宋体" w:hAnsi="宋体" w:eastAsia="宋体" w:cs="宋体"/>
                <w:i w:val="0"/>
                <w:caps w:val="0"/>
                <w:color w:val="000000" w:themeColor="text1"/>
                <w:spacing w:val="15"/>
                <w:sz w:val="21"/>
                <w:szCs w:val="21"/>
                <w14:textFill>
                  <w14:solidFill>
                    <w14:schemeClr w14:val="tx1"/>
                  </w14:solidFill>
                </w14:textFill>
              </w:rPr>
            </w:pPr>
            <w:r>
              <w:rPr>
                <w:rFonts w:hint="eastAsia" w:ascii="宋体" w:hAnsi="宋体" w:eastAsia="宋体" w:cs="宋体"/>
                <w:i w:val="0"/>
                <w:caps w:val="0"/>
                <w:color w:val="000000" w:themeColor="text1"/>
                <w:spacing w:val="15"/>
                <w:sz w:val="21"/>
                <w:szCs w:val="21"/>
                <w:shd w:val="clear" w:fill="FFFFFF"/>
                <w14:textFill>
                  <w14:solidFill>
                    <w14:schemeClr w14:val="tx1"/>
                  </w14:solidFill>
                </w14:textFill>
              </w:rPr>
              <w:t>陈丽萍：</w:t>
            </w:r>
          </w:p>
          <w:p>
            <w:pPr>
              <w:wordWrap w:val="0"/>
              <w:ind w:left="630" w:hanging="630" w:hangingChars="3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观察算式可以和图形联系起来，根据图形想到的计算方法与自己先</w:t>
            </w: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采用的计算方法进行对比，说说哪一种简便，哪个环节对自己的启发最大，从而进一步明确画图的作用。</w:t>
            </w: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wordWrap w:val="0"/>
              <w:ind w:left="630" w:leftChars="3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wordWrap w:val="0"/>
              <w:ind w:left="630" w:leftChars="30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drawing>
                <wp:inline distT="0" distB="0" distL="114300" distR="114300">
                  <wp:extent cx="3632835" cy="3303270"/>
                  <wp:effectExtent l="0" t="0" r="5715" b="11430"/>
                  <wp:docPr id="1" name="图片 1" descr="e860489cc9085b5c3238471f3872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60489cc9085b5c3238471f3872e55"/>
                          <pic:cNvPicPr>
                            <a:picLocks noChangeAspect="1"/>
                          </pic:cNvPicPr>
                        </pic:nvPicPr>
                        <pic:blipFill>
                          <a:blip r:embed="rId4"/>
                          <a:stretch>
                            <a:fillRect/>
                          </a:stretch>
                        </pic:blipFill>
                        <pic:spPr>
                          <a:xfrm>
                            <a:off x="0" y="0"/>
                            <a:ext cx="3632835" cy="3303270"/>
                          </a:xfrm>
                          <a:prstGeom prst="rect">
                            <a:avLst/>
                          </a:prstGeom>
                        </pic:spPr>
                      </pic:pic>
                    </a:graphicData>
                  </a:graphic>
                </wp:inline>
              </w:drawing>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B7"/>
    <w:rsid w:val="00041505"/>
    <w:rsid w:val="00317F3A"/>
    <w:rsid w:val="005B58C4"/>
    <w:rsid w:val="00655579"/>
    <w:rsid w:val="00841DC8"/>
    <w:rsid w:val="00A145A6"/>
    <w:rsid w:val="00B33235"/>
    <w:rsid w:val="00BE10E4"/>
    <w:rsid w:val="00C524CD"/>
    <w:rsid w:val="00CE2EB7"/>
    <w:rsid w:val="00D1435C"/>
    <w:rsid w:val="00EE5DA6"/>
    <w:rsid w:val="02F25A40"/>
    <w:rsid w:val="030A5E78"/>
    <w:rsid w:val="182D1646"/>
    <w:rsid w:val="5749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131</Words>
  <Characters>749</Characters>
  <Lines>6</Lines>
  <Paragraphs>1</Paragraphs>
  <TotalTime>0</TotalTime>
  <ScaleCrop>false</ScaleCrop>
  <LinksUpToDate>false</LinksUpToDate>
  <CharactersWithSpaces>879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2019-09-26T02:37:00Z</dcterms:created>
  <dc:creator>微软用户</dc:creator>
  <cp:lastModifiedBy>Administrator</cp:lastModifiedBy>
  <dcterms:modified xsi:type="dcterms:W3CDTF">2021-06-23T07:43:51Z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